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714C7" w14:textId="143C0B96" w:rsidR="00CB7716" w:rsidRDefault="00C1158D" w:rsidP="00824569">
      <w:pPr>
        <w:tabs>
          <w:tab w:val="center" w:pos="4320"/>
          <w:tab w:val="right" w:pos="8640"/>
        </w:tabs>
        <w:jc w:val="center"/>
        <w:rPr>
          <w:b/>
        </w:rPr>
      </w:pPr>
      <w:r>
        <w:rPr>
          <w:noProof/>
          <w:lang w:eastAsia="lt-LT"/>
        </w:rPr>
        <w:drawing>
          <wp:inline distT="0" distB="0" distL="0" distR="0" wp14:anchorId="3E80538D" wp14:editId="5C122462">
            <wp:extent cx="465455" cy="5372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inline>
        </w:drawing>
      </w:r>
    </w:p>
    <w:p w14:paraId="2E50A233" w14:textId="77777777" w:rsidR="00CB7716" w:rsidRDefault="00CB7716" w:rsidP="00824569">
      <w:pPr>
        <w:tabs>
          <w:tab w:val="center" w:pos="4320"/>
          <w:tab w:val="right" w:pos="8640"/>
        </w:tabs>
        <w:jc w:val="center"/>
        <w:rPr>
          <w:b/>
        </w:rPr>
      </w:pPr>
    </w:p>
    <w:p w14:paraId="319112C8" w14:textId="77777777" w:rsidR="00CB7716" w:rsidRDefault="00C1158D" w:rsidP="00824569">
      <w:pPr>
        <w:tabs>
          <w:tab w:val="center" w:pos="4320"/>
          <w:tab w:val="right" w:pos="8640"/>
        </w:tabs>
        <w:jc w:val="center"/>
        <w:rPr>
          <w:b/>
        </w:rPr>
      </w:pPr>
      <w:r>
        <w:rPr>
          <w:b/>
        </w:rPr>
        <w:t>LIETUVOS RESPUBLIKOS</w:t>
      </w:r>
    </w:p>
    <w:p w14:paraId="258A4844" w14:textId="77777777" w:rsidR="00CB7716" w:rsidRDefault="00C1158D" w:rsidP="00824569">
      <w:pPr>
        <w:tabs>
          <w:tab w:val="center" w:pos="4320"/>
          <w:tab w:val="right" w:pos="8640"/>
        </w:tabs>
        <w:jc w:val="center"/>
        <w:rPr>
          <w:b/>
        </w:rPr>
      </w:pPr>
      <w:r>
        <w:rPr>
          <w:b/>
        </w:rPr>
        <w:t>RYŠIŲ REGULIAVIMO TARNYBOS</w:t>
      </w:r>
    </w:p>
    <w:p w14:paraId="450328BA" w14:textId="77777777" w:rsidR="00CB7716" w:rsidRDefault="00C1158D" w:rsidP="00824569">
      <w:pPr>
        <w:tabs>
          <w:tab w:val="center" w:pos="4320"/>
          <w:tab w:val="right" w:pos="8640"/>
        </w:tabs>
        <w:jc w:val="center"/>
        <w:rPr>
          <w:b/>
        </w:rPr>
      </w:pPr>
      <w:r>
        <w:rPr>
          <w:b/>
        </w:rPr>
        <w:t>DIREKTORIUS</w:t>
      </w:r>
    </w:p>
    <w:p w14:paraId="253E411D" w14:textId="77777777" w:rsidR="00CB7716" w:rsidRDefault="00CB7716" w:rsidP="00824569">
      <w:pPr>
        <w:tabs>
          <w:tab w:val="center" w:pos="4320"/>
          <w:tab w:val="right" w:pos="8640"/>
        </w:tabs>
        <w:jc w:val="center"/>
      </w:pPr>
    </w:p>
    <w:p w14:paraId="6054AB55" w14:textId="77777777" w:rsidR="00CB7716" w:rsidRDefault="00C1158D" w:rsidP="00824569">
      <w:pPr>
        <w:jc w:val="center"/>
        <w:rPr>
          <w:b/>
          <w:sz w:val="28"/>
        </w:rPr>
      </w:pPr>
      <w:r>
        <w:rPr>
          <w:b/>
        </w:rPr>
        <w:t>ĮSAKYMAS</w:t>
      </w:r>
    </w:p>
    <w:p w14:paraId="2B3DC5C1" w14:textId="5AE64393" w:rsidR="00CB7716" w:rsidRDefault="00C1158D" w:rsidP="00824569">
      <w:pPr>
        <w:jc w:val="center"/>
        <w:rPr>
          <w:b/>
          <w:caps/>
          <w:szCs w:val="22"/>
        </w:rPr>
      </w:pPr>
      <w:r>
        <w:rPr>
          <w:b/>
          <w:caps/>
          <w:szCs w:val="24"/>
        </w:rPr>
        <w:t xml:space="preserve">DĖL </w:t>
      </w:r>
      <w:r>
        <w:rPr>
          <w:b/>
          <w:szCs w:val="24"/>
        </w:rPr>
        <w:t>VIEŠOSIOS GELEŽINKELIŲ INFRASTRUKTŪROS TINKLO NUOSTATŲ TURINIO REIKALAVIMŲ APRAŠO PATVIRTINIMO</w:t>
      </w:r>
    </w:p>
    <w:p w14:paraId="7BD849D6" w14:textId="77777777" w:rsidR="00CB7716" w:rsidRDefault="00CB7716" w:rsidP="00824569">
      <w:pPr>
        <w:jc w:val="center"/>
      </w:pPr>
    </w:p>
    <w:p w14:paraId="33678D76" w14:textId="0CB0D695" w:rsidR="00C1158D" w:rsidRPr="00C1158D" w:rsidRDefault="00C1158D" w:rsidP="00824569">
      <w:pPr>
        <w:jc w:val="center"/>
        <w:rPr>
          <w:szCs w:val="24"/>
          <w:lang w:eastAsia="lt-LT"/>
        </w:rPr>
      </w:pPr>
      <w:r w:rsidRPr="00C1158D">
        <w:t xml:space="preserve">2020 m. gegužės 18 d. Nr. </w:t>
      </w:r>
      <w:r w:rsidRPr="00C1158D">
        <w:rPr>
          <w:bCs/>
          <w:szCs w:val="24"/>
          <w:lang w:eastAsia="lt-LT"/>
        </w:rPr>
        <w:t>(1.9E)1V-524</w:t>
      </w:r>
    </w:p>
    <w:p w14:paraId="0CCC93AA" w14:textId="77777777" w:rsidR="00CB7716" w:rsidRPr="00C1158D" w:rsidRDefault="00C1158D" w:rsidP="00824569">
      <w:pPr>
        <w:jc w:val="center"/>
      </w:pPr>
      <w:r w:rsidRPr="00C1158D">
        <w:t>Vilnius</w:t>
      </w:r>
    </w:p>
    <w:p w14:paraId="1F499AC1" w14:textId="77777777" w:rsidR="00CB7716" w:rsidRDefault="00CB7716" w:rsidP="00824569">
      <w:pPr>
        <w:jc w:val="center"/>
      </w:pPr>
    </w:p>
    <w:p w14:paraId="2E419125" w14:textId="77777777" w:rsidR="00824569" w:rsidRDefault="00824569" w:rsidP="00824569">
      <w:pPr>
        <w:jc w:val="center"/>
      </w:pPr>
    </w:p>
    <w:p w14:paraId="77BC3878" w14:textId="4FA64A24" w:rsidR="00CB7716" w:rsidRDefault="00C1158D">
      <w:pPr>
        <w:ind w:firstLine="720"/>
        <w:jc w:val="both"/>
        <w:rPr>
          <w:szCs w:val="22"/>
        </w:rPr>
      </w:pPr>
      <w:r>
        <w:rPr>
          <w:szCs w:val="22"/>
        </w:rPr>
        <w:t>Vadovaudamasis Lietuvos Respublikos geležinkelių transporto kodekso 24</w:t>
      </w:r>
      <w:r>
        <w:rPr>
          <w:szCs w:val="22"/>
          <w:vertAlign w:val="superscript"/>
        </w:rPr>
        <w:t>4</w:t>
      </w:r>
      <w:r>
        <w:rPr>
          <w:szCs w:val="22"/>
        </w:rPr>
        <w:t xml:space="preserve"> straipsnio 5 dalimi, įgyvendindamas</w:t>
      </w:r>
      <w:r>
        <w:rPr>
          <w:color w:val="000000"/>
          <w:szCs w:val="22"/>
        </w:rPr>
        <w:t xml:space="preserve"> </w:t>
      </w:r>
      <w:r>
        <w:rPr>
          <w:szCs w:val="22"/>
        </w:rPr>
        <w:t>2012 m. lapkričio 21 d. Europos Parlamento ir Tarybos direktyvą 2012/34/ES, kuria sukuriama bendra Europos geležinkelių erdvė, su visais pakeitimais:</w:t>
      </w:r>
    </w:p>
    <w:p w14:paraId="0ACF426B" w14:textId="474F15AD" w:rsidR="00CB7716" w:rsidRDefault="00C1158D">
      <w:pPr>
        <w:tabs>
          <w:tab w:val="left" w:pos="993"/>
        </w:tabs>
        <w:ind w:firstLine="720"/>
        <w:jc w:val="both"/>
        <w:rPr>
          <w:szCs w:val="24"/>
        </w:rPr>
      </w:pPr>
      <w:r>
        <w:rPr>
          <w:szCs w:val="24"/>
        </w:rPr>
        <w:t>1.</w:t>
      </w:r>
      <w:r>
        <w:rPr>
          <w:szCs w:val="24"/>
        </w:rPr>
        <w:tab/>
      </w:r>
      <w:r>
        <w:rPr>
          <w:szCs w:val="22"/>
        </w:rPr>
        <w:t xml:space="preserve">T v i r t i n u Viešosios geležinkelių infrastruktūros tinklo nuostatų turinio reikalavimų aprašą </w:t>
      </w:r>
      <w:r>
        <w:rPr>
          <w:szCs w:val="24"/>
        </w:rPr>
        <w:t>(pridedama).</w:t>
      </w:r>
    </w:p>
    <w:p w14:paraId="2EFEED0A" w14:textId="47D7EE5D" w:rsidR="00CB7716" w:rsidRDefault="00C1158D">
      <w:pPr>
        <w:tabs>
          <w:tab w:val="left" w:pos="993"/>
        </w:tabs>
        <w:ind w:firstLine="720"/>
        <w:jc w:val="both"/>
        <w:rPr>
          <w:szCs w:val="24"/>
        </w:rPr>
      </w:pPr>
      <w:r>
        <w:rPr>
          <w:szCs w:val="24"/>
        </w:rPr>
        <w:t>2.</w:t>
      </w:r>
      <w:r>
        <w:rPr>
          <w:szCs w:val="24"/>
        </w:rPr>
        <w:tab/>
      </w:r>
      <w:r>
        <w:rPr>
          <w:spacing w:val="40"/>
          <w:szCs w:val="24"/>
        </w:rPr>
        <w:t>Nustatau</w:t>
      </w:r>
      <w:r>
        <w:rPr>
          <w:szCs w:val="24"/>
        </w:rPr>
        <w:t>, kad:</w:t>
      </w:r>
    </w:p>
    <w:p w14:paraId="77E306AA" w14:textId="4EB77BB0" w:rsidR="00CB7716" w:rsidRDefault="00C1158D">
      <w:pPr>
        <w:ind w:firstLine="709"/>
        <w:jc w:val="both"/>
        <w:rPr>
          <w:szCs w:val="24"/>
        </w:rPr>
      </w:pPr>
      <w:r>
        <w:rPr>
          <w:szCs w:val="24"/>
        </w:rPr>
        <w:t>2.1. šis įsakymas įsigalioja 2020 m. rugpjūčio 20 d.;</w:t>
      </w:r>
    </w:p>
    <w:p w14:paraId="08F96ACC" w14:textId="71CB79A7" w:rsidR="00CB7716" w:rsidRDefault="00C1158D">
      <w:pPr>
        <w:ind w:firstLine="709"/>
        <w:jc w:val="both"/>
        <w:rPr>
          <w:szCs w:val="24"/>
        </w:rPr>
      </w:pPr>
      <w:r>
        <w:rPr>
          <w:szCs w:val="24"/>
        </w:rPr>
        <w:t>2.2. 2021 m. sausio 1 d. įsigalioja tokia šiuo įsakymu patvirtinto Viešosios geležinkelių infrastruktūros tinklo nuostatų turinio reikalavimų aprašo 11.11.8 papunkčio redakcija:</w:t>
      </w:r>
    </w:p>
    <w:p w14:paraId="49D76296" w14:textId="5918DF30" w:rsidR="00CB7716" w:rsidRDefault="00C1158D">
      <w:pPr>
        <w:ind w:firstLine="720"/>
        <w:jc w:val="both"/>
        <w:rPr>
          <w:szCs w:val="24"/>
        </w:rPr>
      </w:pPr>
      <w:r>
        <w:rPr>
          <w:szCs w:val="24"/>
        </w:rPr>
        <w:t>„11.11.8. viešosios geležinkelių infrastruktūros, kuria gali naudotis geležinkelio įmonės (vežėjai) ir remonto įmonės, charakteristika; ši informacija turi atitikti 2019 m. gegužės 16 d. Komisijos įgyvendinimo reglamento (ES) 2019/777 dėl geležinkelių infrastruktūros registro bendrųjų specifikacijų, kuriuo panaikinamas įgyvendinimo sprendimas 2014/880/ES, nustatyta tvarka paskelbtus geležinkelių infrastruktūros duomenis ir (ar) turi būti pateikiama nuoroda į Reglamento (ES) 2019/777 nustatyta tvarka paskelbtus duomenis;“;</w:t>
      </w:r>
    </w:p>
    <w:p w14:paraId="23D52802" w14:textId="7CE8CB42" w:rsidR="00CB7716" w:rsidRDefault="00C1158D">
      <w:pPr>
        <w:ind w:firstLine="720"/>
        <w:jc w:val="both"/>
        <w:rPr>
          <w:szCs w:val="24"/>
        </w:rPr>
      </w:pPr>
      <w:r>
        <w:rPr>
          <w:szCs w:val="24"/>
        </w:rPr>
        <w:t xml:space="preserve">2.3. šiuo įsakymu patvirtinto </w:t>
      </w:r>
      <w:r>
        <w:rPr>
          <w:szCs w:val="22"/>
        </w:rPr>
        <w:t xml:space="preserve">Viešosios geležinkelių infrastruktūros tinklo nuostatų turinio reikalavimų </w:t>
      </w:r>
      <w:r>
        <w:rPr>
          <w:szCs w:val="24"/>
        </w:rPr>
        <w:t>aprašo reikalavimai taikomi rengiant 2021</w:t>
      </w:r>
      <w:r>
        <w:rPr>
          <w:szCs w:val="22"/>
        </w:rPr>
        <w:t>–</w:t>
      </w:r>
      <w:r>
        <w:rPr>
          <w:szCs w:val="24"/>
        </w:rPr>
        <w:t>2022 metų ir vėlesnių tarnybinių traukinių tvarkaraščių Viešosios geležinkelių infrastruktūros tinklo nuostatus.</w:t>
      </w:r>
    </w:p>
    <w:p w14:paraId="3286A107" w14:textId="329C2F5E" w:rsidR="00CB7716" w:rsidRDefault="00C1158D">
      <w:pPr>
        <w:tabs>
          <w:tab w:val="left" w:pos="993"/>
        </w:tabs>
        <w:ind w:firstLine="720"/>
        <w:jc w:val="both"/>
        <w:rPr>
          <w:szCs w:val="24"/>
        </w:rPr>
      </w:pPr>
      <w:r>
        <w:rPr>
          <w:szCs w:val="24"/>
        </w:rPr>
        <w:t>3.</w:t>
      </w:r>
      <w:r>
        <w:rPr>
          <w:szCs w:val="24"/>
        </w:rPr>
        <w:tab/>
        <w:t>N u r o d a u paskelbti šį įsakymą Teisės aktų registre.</w:t>
      </w:r>
    </w:p>
    <w:p w14:paraId="74E1DD48" w14:textId="3B515479" w:rsidR="00CB7716" w:rsidRDefault="00CB7716">
      <w:pPr>
        <w:ind w:firstLine="720"/>
        <w:jc w:val="both"/>
        <w:rPr>
          <w:szCs w:val="24"/>
        </w:rPr>
      </w:pPr>
    </w:p>
    <w:p w14:paraId="1D73D88E" w14:textId="77777777" w:rsidR="00C1158D" w:rsidRDefault="00C1158D">
      <w:pPr>
        <w:ind w:firstLine="720"/>
        <w:jc w:val="both"/>
        <w:rPr>
          <w:szCs w:val="24"/>
        </w:rPr>
      </w:pPr>
    </w:p>
    <w:p w14:paraId="73028021" w14:textId="77777777" w:rsidR="00CB7716" w:rsidRDefault="00CB7716">
      <w:pPr>
        <w:jc w:val="both"/>
      </w:pPr>
    </w:p>
    <w:p w14:paraId="68BE2C6A" w14:textId="13942E1C" w:rsidR="00CB7716" w:rsidRDefault="00C1158D" w:rsidP="00824569">
      <w:pPr>
        <w:tabs>
          <w:tab w:val="left" w:pos="7371"/>
        </w:tabs>
      </w:pPr>
      <w:r>
        <w:t>Direktorius</w:t>
      </w:r>
      <w:r>
        <w:tab/>
        <w:t>Feliksas Dobrovolskis</w:t>
      </w:r>
    </w:p>
    <w:p w14:paraId="6A822D25" w14:textId="77777777" w:rsidR="00C1158D" w:rsidRDefault="00C1158D" w:rsidP="00C1158D">
      <w:pPr>
        <w:spacing w:line="259" w:lineRule="auto"/>
        <w:ind w:firstLine="6237"/>
        <w:sectPr w:rsidR="00C1158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795F39AB" w14:textId="43212B2D" w:rsidR="00CB7716" w:rsidRDefault="00C1158D" w:rsidP="00C1158D">
      <w:pPr>
        <w:spacing w:line="259" w:lineRule="auto"/>
        <w:ind w:firstLine="6237"/>
        <w:rPr>
          <w:szCs w:val="24"/>
        </w:rPr>
      </w:pPr>
      <w:r>
        <w:rPr>
          <w:szCs w:val="24"/>
        </w:rPr>
        <w:lastRenderedPageBreak/>
        <w:t>PATVIRTINTA</w:t>
      </w:r>
    </w:p>
    <w:p w14:paraId="55345EFD" w14:textId="77777777" w:rsidR="00CB7716" w:rsidRDefault="00C1158D" w:rsidP="00C1158D">
      <w:pPr>
        <w:keepLines/>
        <w:suppressAutoHyphens/>
        <w:ind w:firstLine="6237"/>
        <w:jc w:val="both"/>
        <w:textAlignment w:val="center"/>
        <w:rPr>
          <w:bCs/>
          <w:color w:val="000000"/>
          <w:szCs w:val="24"/>
        </w:rPr>
      </w:pPr>
      <w:r>
        <w:rPr>
          <w:bCs/>
          <w:color w:val="000000"/>
          <w:szCs w:val="24"/>
        </w:rPr>
        <w:t>Lietuvos Respublikos</w:t>
      </w:r>
    </w:p>
    <w:p w14:paraId="552CF224" w14:textId="77777777" w:rsidR="00CB7716" w:rsidRDefault="00C1158D" w:rsidP="00C1158D">
      <w:pPr>
        <w:keepLines/>
        <w:suppressAutoHyphens/>
        <w:ind w:firstLine="6237"/>
        <w:jc w:val="both"/>
        <w:textAlignment w:val="center"/>
        <w:rPr>
          <w:bCs/>
          <w:color w:val="000000"/>
          <w:szCs w:val="24"/>
        </w:rPr>
      </w:pPr>
      <w:r>
        <w:rPr>
          <w:bCs/>
          <w:color w:val="000000"/>
          <w:szCs w:val="24"/>
        </w:rPr>
        <w:t>ryšių reguliavimo tarnybos</w:t>
      </w:r>
    </w:p>
    <w:p w14:paraId="38522DF0" w14:textId="415696AB" w:rsidR="00CB7716" w:rsidRDefault="00C1158D" w:rsidP="00C1158D">
      <w:pPr>
        <w:keepLines/>
        <w:suppressAutoHyphens/>
        <w:ind w:firstLine="6237"/>
        <w:jc w:val="both"/>
        <w:textAlignment w:val="center"/>
        <w:rPr>
          <w:bCs/>
          <w:color w:val="000000"/>
          <w:szCs w:val="24"/>
        </w:rPr>
      </w:pPr>
      <w:r>
        <w:rPr>
          <w:bCs/>
          <w:color w:val="000000"/>
          <w:szCs w:val="24"/>
        </w:rPr>
        <w:t>direktoriaus 2020 m. gegužės 18 d.</w:t>
      </w:r>
    </w:p>
    <w:p w14:paraId="0A4265C8" w14:textId="3DC9A7A5" w:rsidR="00C1158D" w:rsidRPr="00C1158D" w:rsidRDefault="00C1158D" w:rsidP="00C1158D">
      <w:pPr>
        <w:keepLines/>
        <w:suppressAutoHyphens/>
        <w:ind w:firstLine="6237"/>
        <w:jc w:val="both"/>
        <w:textAlignment w:val="center"/>
        <w:rPr>
          <w:szCs w:val="24"/>
          <w:lang w:eastAsia="lt-LT"/>
        </w:rPr>
      </w:pPr>
      <w:r w:rsidRPr="00C1158D">
        <w:rPr>
          <w:bCs/>
          <w:color w:val="000000"/>
          <w:szCs w:val="24"/>
        </w:rPr>
        <w:t xml:space="preserve">įsakymu Nr. </w:t>
      </w:r>
      <w:r w:rsidRPr="00C1158D">
        <w:rPr>
          <w:bCs/>
          <w:szCs w:val="24"/>
          <w:lang w:eastAsia="lt-LT"/>
        </w:rPr>
        <w:t>(1.9E)1V-524</w:t>
      </w:r>
    </w:p>
    <w:p w14:paraId="72677B1C" w14:textId="77777777" w:rsidR="00CB7716" w:rsidRDefault="00CB7716">
      <w:pPr>
        <w:keepLines/>
        <w:suppressAutoHyphens/>
        <w:ind w:firstLine="720"/>
        <w:jc w:val="center"/>
        <w:textAlignment w:val="center"/>
        <w:rPr>
          <w:b/>
          <w:bCs/>
          <w:caps/>
          <w:color w:val="000000"/>
          <w:szCs w:val="24"/>
        </w:rPr>
      </w:pPr>
    </w:p>
    <w:p w14:paraId="079D61C9" w14:textId="77777777" w:rsidR="00CB7716" w:rsidRDefault="00CB7716">
      <w:pPr>
        <w:keepLines/>
        <w:suppressAutoHyphens/>
        <w:ind w:firstLine="720"/>
        <w:jc w:val="center"/>
        <w:textAlignment w:val="center"/>
        <w:rPr>
          <w:b/>
          <w:bCs/>
          <w:caps/>
          <w:color w:val="000000"/>
          <w:szCs w:val="24"/>
        </w:rPr>
      </w:pPr>
    </w:p>
    <w:p w14:paraId="3A699DC7" w14:textId="146E78C4" w:rsidR="00CB7716" w:rsidRDefault="00C1158D">
      <w:pPr>
        <w:keepLines/>
        <w:suppressAutoHyphens/>
        <w:jc w:val="center"/>
        <w:textAlignment w:val="center"/>
        <w:rPr>
          <w:b/>
          <w:bCs/>
          <w:caps/>
          <w:color w:val="000000"/>
          <w:szCs w:val="24"/>
        </w:rPr>
      </w:pPr>
      <w:r>
        <w:rPr>
          <w:b/>
          <w:bCs/>
          <w:caps/>
          <w:color w:val="000000"/>
          <w:szCs w:val="24"/>
        </w:rPr>
        <w:t>Viešosios geležinkelių infrastruktūros Tinklo nuostatų turinio reikalavimų aprašas</w:t>
      </w:r>
    </w:p>
    <w:p w14:paraId="6D1BA582" w14:textId="77777777" w:rsidR="00CB7716" w:rsidRDefault="00CB7716">
      <w:pPr>
        <w:keepLines/>
        <w:suppressAutoHyphens/>
        <w:jc w:val="center"/>
        <w:textAlignment w:val="center"/>
        <w:rPr>
          <w:b/>
          <w:bCs/>
          <w:caps/>
          <w:color w:val="000000"/>
          <w:szCs w:val="24"/>
        </w:rPr>
      </w:pPr>
    </w:p>
    <w:p w14:paraId="00D6A148" w14:textId="77777777" w:rsidR="00CB7716" w:rsidRDefault="00CB7716">
      <w:pPr>
        <w:keepLines/>
        <w:suppressAutoHyphens/>
        <w:ind w:firstLine="720"/>
        <w:jc w:val="center"/>
        <w:textAlignment w:val="center"/>
        <w:rPr>
          <w:b/>
          <w:bCs/>
          <w:caps/>
          <w:color w:val="000000"/>
          <w:szCs w:val="24"/>
        </w:rPr>
      </w:pPr>
    </w:p>
    <w:p w14:paraId="44F5ED4B" w14:textId="77777777" w:rsidR="00CB7716" w:rsidRDefault="00C1158D">
      <w:pPr>
        <w:keepLines/>
        <w:suppressAutoHyphens/>
        <w:jc w:val="center"/>
        <w:textAlignment w:val="center"/>
        <w:rPr>
          <w:b/>
          <w:bCs/>
          <w:caps/>
          <w:color w:val="000000"/>
          <w:szCs w:val="24"/>
        </w:rPr>
      </w:pPr>
      <w:r>
        <w:rPr>
          <w:b/>
          <w:bCs/>
          <w:caps/>
          <w:color w:val="000000"/>
          <w:szCs w:val="24"/>
        </w:rPr>
        <w:t>I SKYRIUS</w:t>
      </w:r>
    </w:p>
    <w:p w14:paraId="299D418C" w14:textId="77777777" w:rsidR="00CB7716" w:rsidRDefault="00C1158D">
      <w:pPr>
        <w:keepLines/>
        <w:suppressAutoHyphens/>
        <w:jc w:val="center"/>
        <w:textAlignment w:val="center"/>
        <w:rPr>
          <w:b/>
          <w:bCs/>
          <w:caps/>
          <w:color w:val="000000"/>
          <w:szCs w:val="24"/>
        </w:rPr>
      </w:pPr>
      <w:r>
        <w:rPr>
          <w:b/>
          <w:bCs/>
          <w:caps/>
          <w:color w:val="000000"/>
          <w:szCs w:val="24"/>
        </w:rPr>
        <w:t>BENDROSIOS NUOSTATOS</w:t>
      </w:r>
    </w:p>
    <w:p w14:paraId="10E85B00" w14:textId="77777777" w:rsidR="00CB7716" w:rsidRDefault="00CB7716"/>
    <w:p w14:paraId="4966817B" w14:textId="608E874A" w:rsidR="00CB7716" w:rsidRDefault="00C1158D">
      <w:pPr>
        <w:tabs>
          <w:tab w:val="left" w:pos="993"/>
        </w:tabs>
        <w:ind w:firstLine="720"/>
        <w:jc w:val="both"/>
        <w:rPr>
          <w:szCs w:val="22"/>
        </w:rPr>
      </w:pPr>
      <w:r>
        <w:rPr>
          <w:szCs w:val="22"/>
        </w:rPr>
        <w:t>1.</w:t>
      </w:r>
      <w:r>
        <w:rPr>
          <w:szCs w:val="22"/>
        </w:rPr>
        <w:tab/>
        <w:t xml:space="preserve">Viešosios geležinkelių infrastruktūros tinklo nuostatų turinio reikalavimų aprašas (toliau – Aprašas) nustato Viešosios geležinkelių infrastruktūros tinklo nuostatų (toliau – Tinklo nuostatai) turinio ir Tinklo nuostatuose pateikiamos informacijos reikalavimus. </w:t>
      </w:r>
    </w:p>
    <w:p w14:paraId="7ADBBCA5" w14:textId="4A13C444" w:rsidR="00CB7716" w:rsidRDefault="00C1158D">
      <w:pPr>
        <w:tabs>
          <w:tab w:val="left" w:pos="993"/>
        </w:tabs>
        <w:ind w:firstLine="720"/>
        <w:jc w:val="both"/>
        <w:rPr>
          <w:szCs w:val="22"/>
        </w:rPr>
      </w:pPr>
      <w:r>
        <w:rPr>
          <w:szCs w:val="22"/>
        </w:rPr>
        <w:t>2.</w:t>
      </w:r>
      <w:r>
        <w:rPr>
          <w:szCs w:val="22"/>
        </w:rPr>
        <w:tab/>
        <w:t xml:space="preserve">Aprašas taikomas viešosios geležinkelių infrastruktūros valdytojui (toliau – valdytojas). </w:t>
      </w:r>
    </w:p>
    <w:p w14:paraId="7D611974" w14:textId="5584F04A" w:rsidR="00CB7716" w:rsidRDefault="00C1158D">
      <w:pPr>
        <w:tabs>
          <w:tab w:val="left" w:pos="993"/>
        </w:tabs>
        <w:ind w:firstLine="720"/>
        <w:jc w:val="both"/>
        <w:rPr>
          <w:szCs w:val="22"/>
        </w:rPr>
      </w:pPr>
      <w:r>
        <w:rPr>
          <w:szCs w:val="22"/>
        </w:rPr>
        <w:t>3.</w:t>
      </w:r>
      <w:r>
        <w:rPr>
          <w:szCs w:val="22"/>
        </w:rPr>
        <w:tab/>
        <w:t>Apraše vartojamos sąvokos apibrėžtos Lietuvos Respublikos geležinkelių transporto kodekse (toliau – Kodeksas), 2017 m. lapkričio 22 d. Europos Komisijos įgyvendinimo reglamente (ES) 2017/2177 dėl galimybės naudotis geležinkelių paslaugų įrenginiais ir su geležinkeliais susijusiomis paslaugomis ir 2016 m. balandžio 7 d. Europos Komisijos įgyvendinimo reglamente (ES) 2016/545 dėl procedūrų ir kriterijų, susijusių su pamatiniais susitarimais dėl geležinkelių infrastruktūros pajėgumų paskirstymo.</w:t>
      </w:r>
    </w:p>
    <w:p w14:paraId="76C15EA8" w14:textId="66BFF217" w:rsidR="00CB7716" w:rsidRDefault="00CB7716">
      <w:pPr>
        <w:keepLines/>
        <w:suppressAutoHyphens/>
        <w:ind w:firstLine="720"/>
        <w:jc w:val="both"/>
        <w:textAlignment w:val="center"/>
        <w:rPr>
          <w:bCs/>
          <w:color w:val="000000"/>
          <w:szCs w:val="24"/>
        </w:rPr>
      </w:pPr>
    </w:p>
    <w:p w14:paraId="73593E07" w14:textId="675C7E30" w:rsidR="00CB7716" w:rsidRDefault="00C1158D">
      <w:pPr>
        <w:keepLines/>
        <w:suppressAutoHyphens/>
        <w:jc w:val="center"/>
        <w:textAlignment w:val="center"/>
        <w:rPr>
          <w:b/>
          <w:bCs/>
          <w:caps/>
          <w:color w:val="000000"/>
          <w:szCs w:val="24"/>
        </w:rPr>
      </w:pPr>
      <w:r>
        <w:rPr>
          <w:b/>
          <w:bCs/>
          <w:caps/>
          <w:color w:val="000000"/>
          <w:szCs w:val="24"/>
        </w:rPr>
        <w:t>II SKYRIUS</w:t>
      </w:r>
    </w:p>
    <w:p w14:paraId="6261F790" w14:textId="3291F482" w:rsidR="00CB7716" w:rsidRDefault="00C1158D">
      <w:pPr>
        <w:keepLines/>
        <w:suppressAutoHyphens/>
        <w:jc w:val="center"/>
        <w:textAlignment w:val="center"/>
        <w:rPr>
          <w:b/>
          <w:bCs/>
          <w:caps/>
          <w:color w:val="000000"/>
          <w:szCs w:val="24"/>
        </w:rPr>
      </w:pPr>
      <w:r>
        <w:rPr>
          <w:b/>
          <w:bCs/>
          <w:caps/>
          <w:color w:val="000000"/>
          <w:szCs w:val="24"/>
        </w:rPr>
        <w:t>bendrieji TINKLO NUOSTATų turinio REIKALAVIMAI</w:t>
      </w:r>
    </w:p>
    <w:p w14:paraId="08E6E5A1" w14:textId="77777777" w:rsidR="00CB7716" w:rsidRDefault="00CB7716">
      <w:pPr>
        <w:keepLines/>
        <w:suppressAutoHyphens/>
        <w:ind w:firstLine="720"/>
        <w:jc w:val="center"/>
        <w:textAlignment w:val="center"/>
        <w:rPr>
          <w:b/>
          <w:bCs/>
          <w:caps/>
          <w:color w:val="000000"/>
          <w:szCs w:val="24"/>
        </w:rPr>
      </w:pPr>
    </w:p>
    <w:p w14:paraId="2096577F" w14:textId="2576374D" w:rsidR="00CB7716" w:rsidRDefault="00C1158D">
      <w:pPr>
        <w:tabs>
          <w:tab w:val="left" w:pos="993"/>
        </w:tabs>
        <w:ind w:firstLine="720"/>
        <w:jc w:val="both"/>
        <w:rPr>
          <w:szCs w:val="22"/>
        </w:rPr>
      </w:pPr>
      <w:r>
        <w:rPr>
          <w:szCs w:val="22"/>
        </w:rPr>
        <w:t>4.</w:t>
      </w:r>
      <w:r>
        <w:rPr>
          <w:szCs w:val="22"/>
        </w:rPr>
        <w:tab/>
        <w:t xml:space="preserve">Apraše nustatyti Tinklo nuostatuose pateikiamos informacijos reikalavimai neapriboja valdytojo teisės Tinklo nuostatuose pateikti daugiau ir detalesnės informacijos, nei yra reikalaujama pagal Aprašą. </w:t>
      </w:r>
    </w:p>
    <w:p w14:paraId="58CAD38E" w14:textId="3E79ED73" w:rsidR="00CB7716" w:rsidRDefault="00C1158D">
      <w:pPr>
        <w:tabs>
          <w:tab w:val="left" w:pos="993"/>
        </w:tabs>
        <w:ind w:firstLine="720"/>
        <w:jc w:val="both"/>
        <w:rPr>
          <w:szCs w:val="22"/>
        </w:rPr>
      </w:pPr>
      <w:r>
        <w:rPr>
          <w:szCs w:val="22"/>
        </w:rPr>
        <w:t>5.</w:t>
      </w:r>
      <w:r>
        <w:rPr>
          <w:szCs w:val="22"/>
        </w:rPr>
        <w:tab/>
        <w:t xml:space="preserve">Tinklo nuostatuose turi būti pateikiama tik aktuali, atitinkamų metų tarnybiniam traukinių tvarkaraščiui taikomas teisės aktų nuostatas atitinkanti informacija. Priėmus teisės aktus, įtvirtinančius naujus, keičiančius ir (ar) naikinančius galiojančius reikalavimus dėl Tinklo nuostatuose privalomos pateikti informacijos, valdytojas privalo atnaujinti atitinkamų metų tarnybinio traukinių tvarkaraščio Tinklo nuostatus, net jei reikalavimas pateikti atitinkamą informaciją nėra nustatytas Apraše. </w:t>
      </w:r>
    </w:p>
    <w:p w14:paraId="46DD91D1" w14:textId="206C9F05" w:rsidR="00CB7716" w:rsidRDefault="00C1158D">
      <w:pPr>
        <w:tabs>
          <w:tab w:val="left" w:pos="993"/>
        </w:tabs>
        <w:ind w:firstLine="720"/>
        <w:jc w:val="both"/>
        <w:rPr>
          <w:szCs w:val="22"/>
        </w:rPr>
      </w:pPr>
      <w:r>
        <w:rPr>
          <w:szCs w:val="22"/>
        </w:rPr>
        <w:t>6.</w:t>
      </w:r>
      <w:r>
        <w:rPr>
          <w:szCs w:val="22"/>
        </w:rPr>
        <w:tab/>
        <w:t>Tinklo nuostatuose informacija turi būti atnaujinama lietuvių ir anglų kalbomis ir paskelbiama valdytojo interneto svetainėje vienu metu. Elektroniniu formatu Tinklo nuostatų turinys nemokamai pateikiamas valdytojo interneto svetainėje.</w:t>
      </w:r>
    </w:p>
    <w:p w14:paraId="7FE6B62D" w14:textId="11BBCDF7" w:rsidR="00CB7716" w:rsidRDefault="00C1158D">
      <w:pPr>
        <w:tabs>
          <w:tab w:val="left" w:pos="993"/>
        </w:tabs>
        <w:ind w:firstLine="720"/>
        <w:jc w:val="both"/>
        <w:rPr>
          <w:szCs w:val="22"/>
        </w:rPr>
      </w:pPr>
      <w:r>
        <w:rPr>
          <w:szCs w:val="22"/>
        </w:rPr>
        <w:t>7.</w:t>
      </w:r>
      <w:r>
        <w:rPr>
          <w:szCs w:val="22"/>
        </w:rPr>
        <w:tab/>
        <w:t xml:space="preserve">Tinklo nuostatų turinys turi būti aiškus, išsamus ir leidžiantis susipažinti su visais naudojimosi viešąja geležinkelių infrastruktūra apmokestinimo ir viešosios geležinkelių infrastruktūros pajėgumų (toliau – pajėgumai) skyrimo reikalavimais, terminais, procedūromis, kriterijais ir kita informacija, kurios pareiškėjams ir </w:t>
      </w:r>
      <w:r>
        <w:rPr>
          <w:szCs w:val="24"/>
        </w:rPr>
        <w:t>Kodekso 28 straipsnio 3 dalyje nurodytoms įmonėms</w:t>
      </w:r>
      <w:r>
        <w:rPr>
          <w:color w:val="000000"/>
          <w:szCs w:val="24"/>
        </w:rPr>
        <w:t xml:space="preserve"> (toliau – remonto įmonės)</w:t>
      </w:r>
      <w:r>
        <w:rPr>
          <w:szCs w:val="22"/>
        </w:rPr>
        <w:t xml:space="preserve"> reikia kreipiantis dėl pajėgumų skyrimo ar paskirtų pajėgumų naudojimo.</w:t>
      </w:r>
    </w:p>
    <w:p w14:paraId="265510DF" w14:textId="72FE1840" w:rsidR="00CB7716" w:rsidRDefault="00C1158D">
      <w:pPr>
        <w:tabs>
          <w:tab w:val="left" w:pos="993"/>
        </w:tabs>
        <w:ind w:firstLine="720"/>
        <w:jc w:val="both"/>
        <w:rPr>
          <w:szCs w:val="22"/>
        </w:rPr>
      </w:pPr>
      <w:r>
        <w:rPr>
          <w:szCs w:val="22"/>
        </w:rPr>
        <w:t>8.</w:t>
      </w:r>
      <w:r>
        <w:rPr>
          <w:szCs w:val="22"/>
        </w:rPr>
        <w:tab/>
        <w:t xml:space="preserve">Jeigu tam tikra pagal Aprašą Tinklo nuostatuose reikalaujama pateikti informacija yra neaktuali, pavyzdžiui, valdytojas nenumato taikyti jokių pajėgumų apribojimų, Tinklo nuostatuose </w:t>
      </w:r>
      <w:r>
        <w:rPr>
          <w:color w:val="000000"/>
          <w:szCs w:val="22"/>
        </w:rPr>
        <w:t>privalo būti nurodytos priežastys, kodėl tam tikra informacija nebuvo pateikta</w:t>
      </w:r>
      <w:r>
        <w:rPr>
          <w:szCs w:val="22"/>
        </w:rPr>
        <w:t xml:space="preserve">. </w:t>
      </w:r>
    </w:p>
    <w:p w14:paraId="0F47AA39" w14:textId="2F70407E" w:rsidR="00CB7716" w:rsidRDefault="00C1158D">
      <w:pPr>
        <w:tabs>
          <w:tab w:val="left" w:pos="993"/>
        </w:tabs>
        <w:ind w:firstLine="720"/>
        <w:jc w:val="both"/>
        <w:rPr>
          <w:szCs w:val="22"/>
        </w:rPr>
      </w:pPr>
      <w:r>
        <w:rPr>
          <w:szCs w:val="22"/>
        </w:rPr>
        <w:t>9.</w:t>
      </w:r>
      <w:r>
        <w:rPr>
          <w:szCs w:val="22"/>
        </w:rPr>
        <w:tab/>
        <w:t xml:space="preserve">Jeigu pagal Aprašą Tinklo nuostatuose reikalaujama pateikti informacija yra reglamentuota atskiru teisės aktu (pavyzdžiui, Aprašo 11.12.13 papunktyje nurodyta informacija), Tinklo nuostatuose turi būti pateikiamos atitinkamos teisės akto nuostatos, o nuoroda į oficialaus </w:t>
      </w:r>
      <w:r>
        <w:rPr>
          <w:szCs w:val="22"/>
        </w:rPr>
        <w:lastRenderedPageBreak/>
        <w:t xml:space="preserve">paskelbimo šaltinyje paskelbtą teisės aktą turi būti pateikiama tik kaip papildoma informacija, nebent Apraše aiškiai nurodoma, kad gali būti pateikiama tik nuoroda į atitinkamą teisės aktą. </w:t>
      </w:r>
    </w:p>
    <w:p w14:paraId="1EAA19BB" w14:textId="1FFD304A" w:rsidR="00CB7716" w:rsidRDefault="00C1158D">
      <w:pPr>
        <w:tabs>
          <w:tab w:val="left" w:pos="993"/>
        </w:tabs>
        <w:ind w:firstLine="720"/>
        <w:jc w:val="both"/>
        <w:rPr>
          <w:szCs w:val="22"/>
        </w:rPr>
      </w:pPr>
      <w:r>
        <w:rPr>
          <w:szCs w:val="22"/>
        </w:rPr>
        <w:t>10.</w:t>
      </w:r>
      <w:r>
        <w:rPr>
          <w:szCs w:val="22"/>
        </w:rPr>
        <w:tab/>
        <w:t xml:space="preserve">Tinklo nuostatuose nuorodos į teisės aktus turi būti pateikiamos laikantis Teisės aktų projektų rengimo rekomendacijų, patvirtintų Lietuvos Respublikos teisingumo ministro 2013 m. gruodžio 23 d. įsakymu Nr. 1R-298 „Dėl Teisės aktų  projektų rengimo rekomendacijų patvirtinimo“, 14 ir 15 punktuose įtvirtintų reikalavimų, kartu pateikiant aktyvią nuorodą į Teisės aktų registre, kitame oficialaus paskelbimo šaltinyje ar valdytojo interneto svetainėje paskelbtą teisės akto aktualią redakciją. </w:t>
      </w:r>
    </w:p>
    <w:p w14:paraId="4317BF22" w14:textId="52499DAB" w:rsidR="00CB7716" w:rsidRDefault="00CB7716">
      <w:pPr>
        <w:tabs>
          <w:tab w:val="left" w:pos="993"/>
        </w:tabs>
        <w:ind w:left="720"/>
        <w:jc w:val="both"/>
        <w:rPr>
          <w:szCs w:val="22"/>
        </w:rPr>
      </w:pPr>
    </w:p>
    <w:p w14:paraId="6D329085" w14:textId="0FC6ABA1" w:rsidR="00CB7716" w:rsidRDefault="00C1158D">
      <w:pPr>
        <w:tabs>
          <w:tab w:val="left" w:pos="993"/>
        </w:tabs>
        <w:jc w:val="center"/>
        <w:rPr>
          <w:b/>
          <w:bCs/>
          <w:szCs w:val="22"/>
        </w:rPr>
      </w:pPr>
      <w:r>
        <w:rPr>
          <w:b/>
          <w:bCs/>
          <w:szCs w:val="22"/>
        </w:rPr>
        <w:t>III SKYRIUS</w:t>
      </w:r>
    </w:p>
    <w:p w14:paraId="38A29E97" w14:textId="12BA1996" w:rsidR="00CB7716" w:rsidRDefault="00C1158D">
      <w:pPr>
        <w:tabs>
          <w:tab w:val="left" w:pos="993"/>
        </w:tabs>
        <w:jc w:val="center"/>
        <w:rPr>
          <w:b/>
          <w:bCs/>
          <w:szCs w:val="22"/>
        </w:rPr>
      </w:pPr>
      <w:r>
        <w:rPr>
          <w:b/>
          <w:bCs/>
          <w:szCs w:val="22"/>
        </w:rPr>
        <w:t>REIKALAVIMAI TINKLO NUOSTATUOSE SKELBIAMAI INFORMACIJAI</w:t>
      </w:r>
    </w:p>
    <w:p w14:paraId="46A603B0" w14:textId="77777777" w:rsidR="00CB7716" w:rsidRDefault="00CB7716">
      <w:pPr>
        <w:tabs>
          <w:tab w:val="left" w:pos="993"/>
        </w:tabs>
        <w:jc w:val="center"/>
        <w:rPr>
          <w:b/>
          <w:bCs/>
          <w:szCs w:val="22"/>
        </w:rPr>
      </w:pPr>
    </w:p>
    <w:p w14:paraId="048F7211" w14:textId="267F4E81" w:rsidR="00CB7716" w:rsidRDefault="00C1158D">
      <w:pPr>
        <w:tabs>
          <w:tab w:val="left" w:pos="993"/>
        </w:tabs>
        <w:ind w:firstLine="720"/>
        <w:jc w:val="both"/>
        <w:rPr>
          <w:szCs w:val="24"/>
        </w:rPr>
      </w:pPr>
      <w:r>
        <w:rPr>
          <w:szCs w:val="24"/>
        </w:rPr>
        <w:t>11.</w:t>
      </w:r>
      <w:r>
        <w:rPr>
          <w:szCs w:val="24"/>
        </w:rPr>
        <w:tab/>
        <w:t>Tinklo nuostatuose turi būti pateikiama ši informacija:</w:t>
      </w:r>
    </w:p>
    <w:p w14:paraId="1CF23DDB" w14:textId="35C7E2D7" w:rsidR="00CB7716" w:rsidRDefault="00C1158D">
      <w:pPr>
        <w:tabs>
          <w:tab w:val="left" w:pos="993"/>
          <w:tab w:val="left" w:pos="1134"/>
        </w:tabs>
        <w:ind w:firstLine="720"/>
        <w:jc w:val="both"/>
        <w:rPr>
          <w:szCs w:val="24"/>
        </w:rPr>
      </w:pPr>
      <w:r>
        <w:rPr>
          <w:szCs w:val="24"/>
        </w:rPr>
        <w:t>11.1.</w:t>
      </w:r>
      <w:r>
        <w:rPr>
          <w:szCs w:val="24"/>
        </w:rPr>
        <w:tab/>
        <w:t>Tinklo nuostatų turinys;</w:t>
      </w:r>
    </w:p>
    <w:p w14:paraId="4C2638FB" w14:textId="1E357B87" w:rsidR="00CB7716" w:rsidRDefault="00C1158D">
      <w:pPr>
        <w:tabs>
          <w:tab w:val="left" w:pos="993"/>
          <w:tab w:val="left" w:pos="1134"/>
        </w:tabs>
        <w:ind w:firstLine="720"/>
        <w:jc w:val="both"/>
        <w:rPr>
          <w:szCs w:val="24"/>
        </w:rPr>
      </w:pPr>
      <w:r>
        <w:rPr>
          <w:szCs w:val="24"/>
        </w:rPr>
        <w:t>11.2.</w:t>
      </w:r>
      <w:r>
        <w:rPr>
          <w:szCs w:val="24"/>
        </w:rPr>
        <w:tab/>
        <w:t>po Tinklo nuostatų patvirtinimo ir paskelbimo atliktų Tinklo nuostatų pakeitimų sąrašas, nurodant atlikto pakeitimo datą ir trumpą jo aprašymą;</w:t>
      </w:r>
    </w:p>
    <w:p w14:paraId="304484DE" w14:textId="40FCAE86" w:rsidR="00CB7716" w:rsidRDefault="00C1158D">
      <w:pPr>
        <w:tabs>
          <w:tab w:val="left" w:pos="993"/>
          <w:tab w:val="left" w:pos="1134"/>
        </w:tabs>
        <w:ind w:firstLine="720"/>
        <w:jc w:val="both"/>
        <w:rPr>
          <w:szCs w:val="24"/>
        </w:rPr>
      </w:pPr>
      <w:r>
        <w:rPr>
          <w:szCs w:val="24"/>
        </w:rPr>
        <w:t>11.3.</w:t>
      </w:r>
      <w:r>
        <w:rPr>
          <w:szCs w:val="24"/>
        </w:rPr>
        <w:tab/>
        <w:t>Tinklo nuostatų paskirtis, teisinis statusas, valdytojo atsakomybė už Tinklo nuostatuose pateikiamą informaciją, Tinklo nuostatų struktūra, galiojimas, atnaujinimas ir viešinimas;</w:t>
      </w:r>
    </w:p>
    <w:p w14:paraId="24CC5B99" w14:textId="62F4F7FD" w:rsidR="00CB7716" w:rsidRDefault="00C1158D">
      <w:pPr>
        <w:tabs>
          <w:tab w:val="left" w:pos="993"/>
          <w:tab w:val="left" w:pos="1134"/>
        </w:tabs>
        <w:ind w:firstLine="720"/>
        <w:jc w:val="both"/>
        <w:rPr>
          <w:szCs w:val="24"/>
        </w:rPr>
      </w:pPr>
      <w:r>
        <w:rPr>
          <w:szCs w:val="24"/>
        </w:rPr>
        <w:t>11.4.</w:t>
      </w:r>
      <w:r>
        <w:rPr>
          <w:szCs w:val="24"/>
        </w:rPr>
        <w:tab/>
        <w:t>skundų dėl Kodekso 7</w:t>
      </w:r>
      <w:r>
        <w:rPr>
          <w:szCs w:val="24"/>
          <w:vertAlign w:val="superscript"/>
        </w:rPr>
        <w:t>1</w:t>
      </w:r>
      <w:r>
        <w:rPr>
          <w:szCs w:val="24"/>
        </w:rPr>
        <w:t xml:space="preserve"> straipsnio 1 dalies 1 punkte nurodytų asmenų veiksmų ir (ar) neveikimo, įskaitant pagal kompetenciją priimtų sprendimų, pateikimo geležinkelių transporto rinkos reguliuotojui ir jų nagrinėjimo tvarka, nurodant informaciją apie pareiškėjo teisę pateikti tokį skundą, skundo pateikimo būdus, terminus ir teisės aktus, reglamentuojančius skundų nagrinėjimo tvarką;</w:t>
      </w:r>
    </w:p>
    <w:p w14:paraId="750E9021" w14:textId="395AAEEC" w:rsidR="00CB7716" w:rsidRDefault="00C1158D">
      <w:pPr>
        <w:tabs>
          <w:tab w:val="left" w:pos="993"/>
          <w:tab w:val="left" w:pos="1134"/>
        </w:tabs>
        <w:ind w:firstLine="720"/>
        <w:jc w:val="both"/>
        <w:rPr>
          <w:szCs w:val="24"/>
        </w:rPr>
      </w:pPr>
      <w:r>
        <w:rPr>
          <w:szCs w:val="24"/>
        </w:rPr>
        <w:t>11.5.</w:t>
      </w:r>
      <w:r>
        <w:rPr>
          <w:szCs w:val="24"/>
        </w:rPr>
        <w:tab/>
      </w:r>
      <w:r>
        <w:rPr>
          <w:color w:val="000000"/>
          <w:szCs w:val="22"/>
        </w:rPr>
        <w:t xml:space="preserve">pagrindinių </w:t>
      </w:r>
      <w:r>
        <w:rPr>
          <w:szCs w:val="22"/>
        </w:rPr>
        <w:t>teisės aktų, reguliuojančių naudojimąsi viešąja geležinkelių infrastruktūra, įskaitant pajėgumų skyrimą, (nacionaliniai teisės aktai, tiesiogiai taikomi Europos Sąjungos teisės aktai, tarptautinės sutartys ir kiti) sąrašas</w:t>
      </w:r>
      <w:r>
        <w:rPr>
          <w:szCs w:val="24"/>
        </w:rPr>
        <w:t>;</w:t>
      </w:r>
    </w:p>
    <w:p w14:paraId="291DF7F4" w14:textId="6669EC82" w:rsidR="00CB7716" w:rsidRDefault="00C1158D">
      <w:pPr>
        <w:tabs>
          <w:tab w:val="left" w:pos="993"/>
          <w:tab w:val="left" w:pos="1134"/>
        </w:tabs>
        <w:ind w:firstLine="720"/>
        <w:jc w:val="both"/>
        <w:rPr>
          <w:szCs w:val="24"/>
        </w:rPr>
      </w:pPr>
      <w:r>
        <w:rPr>
          <w:szCs w:val="24"/>
        </w:rPr>
        <w:t>11.6.</w:t>
      </w:r>
      <w:r>
        <w:rPr>
          <w:szCs w:val="24"/>
        </w:rPr>
        <w:tab/>
        <w:t>valdytojo, institucijos, atsakingos už geležinkelio įmonių (vežėjų) licencijavimą ir saugos sertifikavimą ir geležinkelių transporto rinkos reguliuotojo kontaktiniai duomenys (</w:t>
      </w:r>
      <w:r>
        <w:rPr>
          <w:szCs w:val="22"/>
        </w:rPr>
        <w:t>teisinė forma, pavadinimas, buveinės adresas, telefono ryšio numeris, elektroninio pašto adresas, nuoroda į interneto svetainę) ir geležinkelių transporto veiklos sritis, už kurią nurodytas asmuo yra atsakingas</w:t>
      </w:r>
      <w:r>
        <w:rPr>
          <w:szCs w:val="24"/>
        </w:rPr>
        <w:t>;</w:t>
      </w:r>
    </w:p>
    <w:p w14:paraId="4129B492" w14:textId="42F5C2E9" w:rsidR="00CB7716" w:rsidRDefault="00C1158D">
      <w:pPr>
        <w:tabs>
          <w:tab w:val="left" w:pos="993"/>
          <w:tab w:val="left" w:pos="1134"/>
        </w:tabs>
        <w:ind w:firstLine="720"/>
        <w:jc w:val="both"/>
        <w:rPr>
          <w:szCs w:val="24"/>
        </w:rPr>
      </w:pPr>
      <w:r>
        <w:rPr>
          <w:szCs w:val="24"/>
        </w:rPr>
        <w:t>11.7.</w:t>
      </w:r>
      <w:r>
        <w:rPr>
          <w:szCs w:val="24"/>
        </w:rPr>
        <w:tab/>
        <w:t>tarptautinių krovinių vežimo geležinkeliais koridorių, kurie yra viešosios geležinkelių infrastruktūros dalis, aprašymas ir nuorodos į šių koridorių interneto svetaines;</w:t>
      </w:r>
    </w:p>
    <w:p w14:paraId="210DD9F1" w14:textId="6669D3F6" w:rsidR="00CB7716" w:rsidRDefault="00C1158D">
      <w:pPr>
        <w:tabs>
          <w:tab w:val="left" w:pos="993"/>
          <w:tab w:val="left" w:pos="1134"/>
        </w:tabs>
        <w:ind w:firstLine="720"/>
        <w:jc w:val="both"/>
        <w:rPr>
          <w:szCs w:val="24"/>
        </w:rPr>
      </w:pPr>
      <w:r>
        <w:rPr>
          <w:szCs w:val="24"/>
        </w:rPr>
        <w:t>11.8.</w:t>
      </w:r>
      <w:r>
        <w:rPr>
          <w:szCs w:val="24"/>
        </w:rPr>
        <w:tab/>
        <w:t xml:space="preserve">Europos geležinkelių infrastruktūros valdytojų asociacijos (angl. </w:t>
      </w:r>
      <w:proofErr w:type="spellStart"/>
      <w:r>
        <w:rPr>
          <w:i/>
          <w:iCs/>
          <w:szCs w:val="24"/>
        </w:rPr>
        <w:t>RailNetEurope</w:t>
      </w:r>
      <w:proofErr w:type="spellEnd"/>
      <w:r>
        <w:rPr>
          <w:rFonts w:eastAsia="Calibri"/>
          <w:szCs w:val="24"/>
        </w:rPr>
        <w:t xml:space="preserve">, </w:t>
      </w:r>
      <w:r>
        <w:rPr>
          <w:rFonts w:eastAsia="Calibri"/>
          <w:i/>
          <w:szCs w:val="24"/>
        </w:rPr>
        <w:t>RNE</w:t>
      </w:r>
      <w:r>
        <w:rPr>
          <w:rFonts w:eastAsia="Calibri"/>
          <w:iCs/>
          <w:szCs w:val="24"/>
        </w:rPr>
        <w:t>)</w:t>
      </w:r>
      <w:r>
        <w:rPr>
          <w:szCs w:val="24"/>
        </w:rPr>
        <w:t xml:space="preserve"> ir jai priklausančių geležinkelių infrastruktūros valdytojų, pareiškėjų ir remonto įmonių naudojimui sukurtų informacinių sistemų aprašymai ir nuorodos į šias informacines sistemas;</w:t>
      </w:r>
    </w:p>
    <w:p w14:paraId="6C2F07AF" w14:textId="6659C224" w:rsidR="00CB7716" w:rsidRDefault="00C1158D">
      <w:pPr>
        <w:tabs>
          <w:tab w:val="left" w:pos="993"/>
          <w:tab w:val="left" w:pos="1134"/>
        </w:tabs>
        <w:ind w:firstLine="720"/>
        <w:jc w:val="both"/>
        <w:rPr>
          <w:szCs w:val="24"/>
        </w:rPr>
      </w:pPr>
      <w:r>
        <w:rPr>
          <w:szCs w:val="24"/>
        </w:rPr>
        <w:t>11.9.</w:t>
      </w:r>
      <w:r>
        <w:rPr>
          <w:szCs w:val="24"/>
        </w:rPr>
        <w:tab/>
        <w:t>Europos Sąjungos valstybių narių geležinkelių infrastruktūros valdytojų ar pajėgumus skiriančių įstaigų įsteigtos bendros įstaigos (</w:t>
      </w:r>
      <w:r>
        <w:rPr>
          <w:szCs w:val="22"/>
        </w:rPr>
        <w:t xml:space="preserve">angl. </w:t>
      </w:r>
      <w:r>
        <w:rPr>
          <w:i/>
          <w:iCs/>
          <w:szCs w:val="22"/>
        </w:rPr>
        <w:t xml:space="preserve">One Stop </w:t>
      </w:r>
      <w:proofErr w:type="spellStart"/>
      <w:r>
        <w:rPr>
          <w:i/>
          <w:iCs/>
          <w:szCs w:val="22"/>
        </w:rPr>
        <w:t>Shop</w:t>
      </w:r>
      <w:proofErr w:type="spellEnd"/>
      <w:r>
        <w:rPr>
          <w:i/>
          <w:iCs/>
          <w:szCs w:val="22"/>
        </w:rPr>
        <w:t>, OSS</w:t>
      </w:r>
      <w:r>
        <w:rPr>
          <w:szCs w:val="22"/>
        </w:rPr>
        <w:t>)</w:t>
      </w:r>
      <w:r>
        <w:rPr>
          <w:szCs w:val="24"/>
        </w:rPr>
        <w:t>, kuri suteikia reikalingą pagalbą siekiant teikti keleivių, bagažo ir (ar) krovinių vežimo tarptautiniais maršrutais paslaugas, vykdomos veiklos aprašymas ir nuoroda į šios įstaigos interneto svetainę;</w:t>
      </w:r>
    </w:p>
    <w:p w14:paraId="1C28700D" w14:textId="4A61E1DE" w:rsidR="00CB7716" w:rsidRDefault="00C1158D">
      <w:pPr>
        <w:tabs>
          <w:tab w:val="left" w:pos="993"/>
          <w:tab w:val="left" w:pos="1134"/>
          <w:tab w:val="left" w:pos="1276"/>
        </w:tabs>
        <w:ind w:firstLine="720"/>
        <w:jc w:val="both"/>
        <w:rPr>
          <w:color w:val="000000"/>
          <w:szCs w:val="24"/>
        </w:rPr>
      </w:pPr>
      <w:r>
        <w:rPr>
          <w:color w:val="000000"/>
          <w:szCs w:val="24"/>
        </w:rPr>
        <w:t>11.10.</w:t>
      </w:r>
      <w:r>
        <w:rPr>
          <w:color w:val="000000"/>
          <w:szCs w:val="24"/>
        </w:rPr>
        <w:tab/>
        <w:t>pagal Reglamento (ES) 2017/2177 5 straipsnio 2 dalį nustatytas terminas, iki kada geležinkelių paslaugų įrenginių operatoriai (toliau – operatoriai) privalo pateikti Reglamento (ES) 2017/2177 5 straipsnio 1 dalyje nurodytą informaciją, skelbtiną Tinklo nuostatuose, ir tokios informacijos pateikimo šablonas arba nuoroda į interneto svetainę, kurioje nemokamai skelbiama tokia informacija, teisės aktai, reglamentuojantys operatorių atleidimo nuo Reglamento (ES) 2017/2177 nuostatų taikymo tvarką;</w:t>
      </w:r>
    </w:p>
    <w:p w14:paraId="47B1C1DA" w14:textId="6F5B5F50" w:rsidR="00CB7716" w:rsidRDefault="00C1158D">
      <w:pPr>
        <w:tabs>
          <w:tab w:val="left" w:pos="993"/>
          <w:tab w:val="left" w:pos="1134"/>
        </w:tabs>
        <w:ind w:firstLine="720"/>
        <w:jc w:val="both"/>
        <w:rPr>
          <w:szCs w:val="24"/>
        </w:rPr>
      </w:pPr>
      <w:r>
        <w:rPr>
          <w:szCs w:val="24"/>
        </w:rPr>
        <w:t>11.11.</w:t>
      </w:r>
      <w:r>
        <w:rPr>
          <w:szCs w:val="24"/>
        </w:rPr>
        <w:tab/>
        <w:t>prieigos prie viešosios geležinkelių infrastruktūros sąlygos:</w:t>
      </w:r>
    </w:p>
    <w:p w14:paraId="193C0EB2" w14:textId="66B5EBD8" w:rsidR="00CB7716" w:rsidRDefault="00C1158D">
      <w:pPr>
        <w:tabs>
          <w:tab w:val="left" w:pos="993"/>
        </w:tabs>
        <w:ind w:firstLine="720"/>
        <w:jc w:val="both"/>
        <w:rPr>
          <w:szCs w:val="22"/>
        </w:rPr>
      </w:pPr>
      <w:r>
        <w:rPr>
          <w:szCs w:val="22"/>
        </w:rPr>
        <w:t>11.11.1.</w:t>
      </w:r>
      <w:r>
        <w:rPr>
          <w:szCs w:val="22"/>
        </w:rPr>
        <w:tab/>
        <w:t>naudojimosi viešąją geležinkelių infrastruktūra sąlygos;</w:t>
      </w:r>
    </w:p>
    <w:p w14:paraId="11B28882" w14:textId="5E69DCA7" w:rsidR="00CB7716" w:rsidRDefault="00C1158D">
      <w:pPr>
        <w:tabs>
          <w:tab w:val="left" w:pos="993"/>
        </w:tabs>
        <w:ind w:firstLine="720"/>
        <w:jc w:val="both"/>
        <w:rPr>
          <w:szCs w:val="22"/>
        </w:rPr>
      </w:pPr>
      <w:r>
        <w:rPr>
          <w:szCs w:val="22"/>
        </w:rPr>
        <w:t>11.11.2.</w:t>
      </w:r>
      <w:r>
        <w:rPr>
          <w:szCs w:val="22"/>
        </w:rPr>
        <w:tab/>
        <w:t>informacija apie geležinkelio įmonių (vežėjų) licencijavimą, nurodant instituciją, atsakingą už geležinkelio įmonių (vežėjų) licencijavimą, ir (ar) nuoroda į interneto svetainę, kurioje nemokamai skelbiama su geležinkelio  įmonių (vežėjų) licencijavimu susijusi informacija;</w:t>
      </w:r>
    </w:p>
    <w:p w14:paraId="092BA5C4" w14:textId="76D7DE9F" w:rsidR="00CB7716" w:rsidRDefault="00C1158D">
      <w:pPr>
        <w:tabs>
          <w:tab w:val="left" w:pos="993"/>
          <w:tab w:val="left" w:pos="1276"/>
        </w:tabs>
        <w:ind w:firstLine="720"/>
        <w:jc w:val="both"/>
        <w:rPr>
          <w:szCs w:val="22"/>
        </w:rPr>
      </w:pPr>
      <w:r>
        <w:rPr>
          <w:szCs w:val="22"/>
        </w:rPr>
        <w:lastRenderedPageBreak/>
        <w:t>11.11.3.</w:t>
      </w:r>
      <w:r>
        <w:rPr>
          <w:szCs w:val="22"/>
        </w:rPr>
        <w:tab/>
        <w:t>informacija apie saugos sertifikavimą, nurodant instituciją, atsakingą už geležinkelio įmonių (vežėjų) ir (ar) remonto įmonių saugos sertifikavimą, ir (ar) nuoroda į interneto svetainę, kurioje nemokamai skelbiama su geležinkelio įmonių (vežėjų) ir (ar) remonto įmonių saugos sertifikavimu susijusi informacija;</w:t>
      </w:r>
    </w:p>
    <w:p w14:paraId="40E5E83A" w14:textId="78667068" w:rsidR="00CB7716" w:rsidRDefault="00C1158D">
      <w:pPr>
        <w:tabs>
          <w:tab w:val="left" w:pos="993"/>
          <w:tab w:val="left" w:pos="1134"/>
          <w:tab w:val="left" w:pos="1276"/>
        </w:tabs>
        <w:ind w:firstLine="720"/>
        <w:jc w:val="both"/>
        <w:rPr>
          <w:color w:val="000000"/>
          <w:szCs w:val="24"/>
        </w:rPr>
      </w:pPr>
      <w:r>
        <w:rPr>
          <w:color w:val="000000"/>
          <w:szCs w:val="24"/>
        </w:rPr>
        <w:t>11.11.4.</w:t>
      </w:r>
      <w:r>
        <w:rPr>
          <w:color w:val="000000"/>
          <w:szCs w:val="24"/>
        </w:rPr>
        <w:tab/>
        <w:t xml:space="preserve">reikalavimai </w:t>
      </w:r>
      <w:r>
        <w:rPr>
          <w:szCs w:val="22"/>
        </w:rPr>
        <w:t>geležinkelio įmonių (vežėjų) ir (ar) remonto įmonių</w:t>
      </w:r>
      <w:r>
        <w:rPr>
          <w:color w:val="000000"/>
          <w:szCs w:val="24"/>
        </w:rPr>
        <w:t xml:space="preserve"> privalomajam civilinės atsakomybės draudimui ir (ar) nuorodos į teisės aktus, reglamentuojančius </w:t>
      </w:r>
      <w:r>
        <w:rPr>
          <w:szCs w:val="22"/>
        </w:rPr>
        <w:t>geležinkelio įmonių (vežėjų) ir (ar) remonto įmonių</w:t>
      </w:r>
      <w:r>
        <w:rPr>
          <w:color w:val="000000"/>
          <w:szCs w:val="24"/>
        </w:rPr>
        <w:t xml:space="preserve"> privalomąjį civilinės atsakomybės draudimą, ir minimalios privalomojo civilinės atsakomybės draudimo sumos;</w:t>
      </w:r>
    </w:p>
    <w:p w14:paraId="71C3FD3D" w14:textId="26298010" w:rsidR="00CB7716" w:rsidRDefault="00C1158D">
      <w:pPr>
        <w:tabs>
          <w:tab w:val="left" w:pos="993"/>
          <w:tab w:val="left" w:pos="1276"/>
        </w:tabs>
        <w:ind w:firstLine="720"/>
        <w:jc w:val="both"/>
        <w:rPr>
          <w:szCs w:val="22"/>
        </w:rPr>
      </w:pPr>
      <w:r>
        <w:rPr>
          <w:szCs w:val="22"/>
        </w:rPr>
        <w:t>11.11.5.</w:t>
      </w:r>
      <w:r>
        <w:rPr>
          <w:szCs w:val="22"/>
        </w:rPr>
        <w:tab/>
      </w:r>
      <w:r>
        <w:rPr>
          <w:color w:val="000000"/>
          <w:szCs w:val="24"/>
        </w:rPr>
        <w:t xml:space="preserve">reikalavimai, taikomi ypatingajam transportui (pavyzdžiui, </w:t>
      </w:r>
      <w:proofErr w:type="spellStart"/>
      <w:r>
        <w:rPr>
          <w:color w:val="000000"/>
          <w:szCs w:val="24"/>
        </w:rPr>
        <w:t>negabaritinių</w:t>
      </w:r>
      <w:proofErr w:type="spellEnd"/>
      <w:r>
        <w:rPr>
          <w:color w:val="000000"/>
          <w:szCs w:val="24"/>
        </w:rPr>
        <w:t xml:space="preserve">, sunkiųjų, pavojingųjų ir kitų krovinių vežimui geležinkelių transportu), nurodant asmenis, atsakingus už tokių reikalavimų laikymosi priežiūrą, ir jų kontaktinius duomenis </w:t>
      </w:r>
      <w:r>
        <w:rPr>
          <w:szCs w:val="22"/>
        </w:rPr>
        <w:t>(buveinės adresą, telefono ryšio numerį, elektroninio pašto adresą, nuorodą į interneto svetainę)</w:t>
      </w:r>
      <w:r>
        <w:rPr>
          <w:color w:val="000000"/>
          <w:szCs w:val="24"/>
        </w:rPr>
        <w:t xml:space="preserve"> ir</w:t>
      </w:r>
      <w:r>
        <w:rPr>
          <w:szCs w:val="22"/>
        </w:rPr>
        <w:t xml:space="preserve"> (ar) nuorodas į interneto svetaines, kuriose skelbiama su šiais reikalavimais susijusi informacija;</w:t>
      </w:r>
    </w:p>
    <w:p w14:paraId="62C7121F" w14:textId="69389750" w:rsidR="00CB7716" w:rsidRDefault="00C1158D">
      <w:pPr>
        <w:tabs>
          <w:tab w:val="left" w:pos="993"/>
          <w:tab w:val="left" w:pos="1276"/>
        </w:tabs>
        <w:ind w:firstLine="720"/>
        <w:jc w:val="both"/>
        <w:rPr>
          <w:szCs w:val="22"/>
        </w:rPr>
      </w:pPr>
      <w:r>
        <w:rPr>
          <w:szCs w:val="22"/>
        </w:rPr>
        <w:t>11.11.6.</w:t>
      </w:r>
      <w:r>
        <w:rPr>
          <w:szCs w:val="22"/>
        </w:rPr>
        <w:tab/>
        <w:t xml:space="preserve">informacija apie </w:t>
      </w:r>
      <w:r>
        <w:rPr>
          <w:color w:val="000000"/>
          <w:szCs w:val="24"/>
        </w:rPr>
        <w:t xml:space="preserve">leidimų naudoti geležinkelių riedmenis išdavimo tvarką, nurodant </w:t>
      </w:r>
      <w:r>
        <w:rPr>
          <w:szCs w:val="22"/>
        </w:rPr>
        <w:t xml:space="preserve">instituciją, atsakingą už šių leidimų išdavimą, ir jos kontaktinius duomenis (buveinės adresą, telefono ryšio numerį, elektroninio pašto adresą, nuorodą į interneto svetainę) </w:t>
      </w:r>
      <w:r>
        <w:rPr>
          <w:color w:val="000000"/>
          <w:szCs w:val="24"/>
        </w:rPr>
        <w:t>ir (ar)</w:t>
      </w:r>
      <w:r>
        <w:rPr>
          <w:szCs w:val="22"/>
        </w:rPr>
        <w:t xml:space="preserve"> nuorodą į interneto svetainę, kurioje skelbiama su šių leidimų išdavimo tvarka susijusi informacija;</w:t>
      </w:r>
    </w:p>
    <w:p w14:paraId="3ABF0E96" w14:textId="4A4946AB" w:rsidR="00CB7716" w:rsidRDefault="00C1158D">
      <w:pPr>
        <w:tabs>
          <w:tab w:val="left" w:pos="993"/>
          <w:tab w:val="left" w:pos="1134"/>
          <w:tab w:val="left" w:pos="1276"/>
        </w:tabs>
        <w:ind w:firstLine="720"/>
        <w:jc w:val="both"/>
        <w:rPr>
          <w:color w:val="000000"/>
          <w:szCs w:val="24"/>
        </w:rPr>
      </w:pPr>
      <w:r>
        <w:rPr>
          <w:color w:val="000000"/>
          <w:szCs w:val="24"/>
        </w:rPr>
        <w:t>11.11.7.</w:t>
      </w:r>
      <w:r>
        <w:rPr>
          <w:color w:val="000000"/>
          <w:szCs w:val="24"/>
        </w:rPr>
        <w:tab/>
        <w:t xml:space="preserve">reikalavimai </w:t>
      </w:r>
      <w:r>
        <w:rPr>
          <w:szCs w:val="22"/>
        </w:rPr>
        <w:t>geležinkelio įmonių (vežėjų) ir (ar) remonto įmonių</w:t>
      </w:r>
      <w:r>
        <w:rPr>
          <w:color w:val="000000"/>
          <w:szCs w:val="24"/>
        </w:rPr>
        <w:t xml:space="preserve"> darbuotojams, kurių darbas susijęs su geležinkelių transporto eismu, nurodant asmenis, atsakingus už šių darbuotojų darbui, susijusiam su geležinkelių transporto eismu, reikalingų pažymėjimų (sertifikatų, leidimų ir pan.) išdavimą, jų kontaktinius duomenis </w:t>
      </w:r>
      <w:r>
        <w:rPr>
          <w:szCs w:val="22"/>
        </w:rPr>
        <w:t>(buveinės adresą, telefono ryšio numerį, elektroninio pašto adresą, nuorodą į interneto svetainę)</w:t>
      </w:r>
      <w:r>
        <w:rPr>
          <w:color w:val="000000"/>
          <w:szCs w:val="24"/>
        </w:rPr>
        <w:t xml:space="preserve"> ir (ar) </w:t>
      </w:r>
      <w:r>
        <w:rPr>
          <w:szCs w:val="22"/>
        </w:rPr>
        <w:t>nuorodas į interneto svetaines, kuriose skelbiama su geležinkelio įmonių (vežėjų) ir (ar) remonto įmonių</w:t>
      </w:r>
      <w:r>
        <w:rPr>
          <w:color w:val="000000"/>
          <w:szCs w:val="24"/>
        </w:rPr>
        <w:t xml:space="preserve"> darbuotojams, kurių darbas susijęs su geležinkelių transportu eismu, reikalingų pažymėjimų (sertifikatų, leidimų ir pan.) išdavimo tvarka susijusi informacija</w:t>
      </w:r>
      <w:r>
        <w:rPr>
          <w:szCs w:val="22"/>
        </w:rPr>
        <w:t>;</w:t>
      </w:r>
    </w:p>
    <w:p w14:paraId="4DD75F79" w14:textId="322E3AEE" w:rsidR="00CB7716" w:rsidRDefault="00C1158D">
      <w:pPr>
        <w:tabs>
          <w:tab w:val="left" w:pos="993"/>
          <w:tab w:val="left" w:pos="1134"/>
          <w:tab w:val="left" w:pos="1276"/>
        </w:tabs>
        <w:ind w:firstLine="720"/>
        <w:jc w:val="both"/>
        <w:rPr>
          <w:color w:val="000000"/>
          <w:szCs w:val="24"/>
        </w:rPr>
      </w:pPr>
      <w:r>
        <w:rPr>
          <w:color w:val="000000"/>
          <w:szCs w:val="24"/>
        </w:rPr>
        <w:t>11.11.8.</w:t>
      </w:r>
      <w:r>
        <w:rPr>
          <w:color w:val="000000"/>
          <w:szCs w:val="24"/>
        </w:rPr>
        <w:tab/>
      </w:r>
      <w:r>
        <w:rPr>
          <w:szCs w:val="24"/>
        </w:rPr>
        <w:t xml:space="preserve">viešosios geležinkelių infrastruktūros, kuria gali naudotis geležinkelio įmonės (vežėjai) ir remonto </w:t>
      </w:r>
      <w:r>
        <w:rPr>
          <w:color w:val="000000"/>
          <w:szCs w:val="24"/>
        </w:rPr>
        <w:t>įmonės</w:t>
      </w:r>
      <w:r>
        <w:rPr>
          <w:szCs w:val="24"/>
        </w:rPr>
        <w:t xml:space="preserve">, charakteristika; ši informacija turi atitikti </w:t>
      </w:r>
      <w:r>
        <w:rPr>
          <w:szCs w:val="22"/>
        </w:rPr>
        <w:t>Lietuvos Respublikos geležinkelių infrastruktūros registro</w:t>
      </w:r>
      <w:r>
        <w:rPr>
          <w:szCs w:val="24"/>
        </w:rPr>
        <w:t xml:space="preserve"> duomenis ir (ar) turi būti pateikiama nuoroda į </w:t>
      </w:r>
      <w:r>
        <w:rPr>
          <w:spacing w:val="-2"/>
          <w:szCs w:val="22"/>
        </w:rPr>
        <w:t xml:space="preserve">paskelbtus </w:t>
      </w:r>
      <w:r>
        <w:rPr>
          <w:szCs w:val="22"/>
        </w:rPr>
        <w:t>Lietuvos Respublikos geležinkelių infrastruktūros registro</w:t>
      </w:r>
      <w:r>
        <w:rPr>
          <w:szCs w:val="24"/>
        </w:rPr>
        <w:t xml:space="preserve"> </w:t>
      </w:r>
      <w:r>
        <w:rPr>
          <w:spacing w:val="-2"/>
          <w:szCs w:val="22"/>
        </w:rPr>
        <w:t>duomenis</w:t>
      </w:r>
      <w:r>
        <w:rPr>
          <w:szCs w:val="24"/>
        </w:rPr>
        <w:t>;</w:t>
      </w:r>
    </w:p>
    <w:p w14:paraId="5331D2C9" w14:textId="731ABD61" w:rsidR="00CB7716" w:rsidRDefault="00C1158D">
      <w:pPr>
        <w:tabs>
          <w:tab w:val="left" w:pos="993"/>
          <w:tab w:val="left" w:pos="1134"/>
          <w:tab w:val="left" w:pos="1276"/>
        </w:tabs>
        <w:ind w:firstLine="720"/>
        <w:jc w:val="both"/>
        <w:rPr>
          <w:color w:val="000000"/>
          <w:szCs w:val="24"/>
        </w:rPr>
      </w:pPr>
      <w:r>
        <w:rPr>
          <w:color w:val="000000"/>
          <w:szCs w:val="24"/>
        </w:rPr>
        <w:t>11.11.9.</w:t>
      </w:r>
      <w:r>
        <w:rPr>
          <w:color w:val="000000"/>
          <w:szCs w:val="24"/>
        </w:rPr>
        <w:tab/>
      </w:r>
      <w:r>
        <w:rPr>
          <w:szCs w:val="24"/>
        </w:rPr>
        <w:t>bendrosios pajėgumų ypatybės (įskaitant atitinkamam tarnybiniam traukinių tvarkaraščiui pajėgumų skyrimui numatytą preliminarų geležinkelių linijų pralaidumą, traukinio masę ir ilgį) ir bet kokie su jų naudojimu susiję apribojimai, įskaitant galimą pajėgumų poreikį viešosios geležinkelių infrastruktūros techninės priežiūros darbams atlikti, kaip tai numatyta 2017 m. rugsėjo 4 d. Komisijos deleguotajame sprendime (ES) 2017/2075, kuriuo pakeičiamas Europos Parlamento ir Tarybos direktyvos 2012/34/ES, kuria sukuriama bendra Europos geležinkelių erdvė, VII priedas</w:t>
      </w:r>
      <w:r>
        <w:rPr>
          <w:color w:val="000000"/>
          <w:szCs w:val="24"/>
        </w:rPr>
        <w:t>;</w:t>
      </w:r>
    </w:p>
    <w:p w14:paraId="1A062F65" w14:textId="77CA6867" w:rsidR="00CB7716" w:rsidRDefault="00C1158D">
      <w:pPr>
        <w:tabs>
          <w:tab w:val="left" w:pos="993"/>
          <w:tab w:val="left" w:pos="1134"/>
          <w:tab w:val="left" w:pos="1276"/>
        </w:tabs>
        <w:ind w:firstLine="720"/>
        <w:jc w:val="both"/>
        <w:rPr>
          <w:color w:val="000000"/>
          <w:szCs w:val="24"/>
        </w:rPr>
      </w:pPr>
      <w:r>
        <w:rPr>
          <w:color w:val="000000"/>
          <w:szCs w:val="24"/>
        </w:rPr>
        <w:t>11.11.10.</w:t>
      </w:r>
      <w:r>
        <w:rPr>
          <w:color w:val="000000"/>
          <w:szCs w:val="24"/>
        </w:rPr>
        <w:tab/>
      </w:r>
      <w:r>
        <w:rPr>
          <w:szCs w:val="24"/>
        </w:rPr>
        <w:t>pajėgumų apribojimų grupavimo ribinės vertės ir kriterijai, kartu su preliminariu likusių pajėgumų paskirstymu skirtingų rūšių geležinkelių transporto paslaugoms teikti, kaip tai numatyta Sprendime (ES) 2017/2075;</w:t>
      </w:r>
    </w:p>
    <w:p w14:paraId="5C5F2B4B" w14:textId="3F8D4E79" w:rsidR="00CB7716" w:rsidRDefault="00C1158D">
      <w:pPr>
        <w:tabs>
          <w:tab w:val="left" w:pos="993"/>
          <w:tab w:val="left" w:pos="1134"/>
          <w:tab w:val="left" w:pos="1276"/>
        </w:tabs>
        <w:ind w:firstLine="720"/>
        <w:jc w:val="both"/>
        <w:rPr>
          <w:color w:val="000000"/>
          <w:szCs w:val="24"/>
        </w:rPr>
      </w:pPr>
      <w:r>
        <w:rPr>
          <w:color w:val="000000"/>
          <w:szCs w:val="24"/>
        </w:rPr>
        <w:t>11.11.11.</w:t>
      </w:r>
      <w:r>
        <w:rPr>
          <w:color w:val="000000"/>
          <w:szCs w:val="24"/>
        </w:rPr>
        <w:tab/>
      </w:r>
      <w:r>
        <w:rPr>
          <w:szCs w:val="24"/>
        </w:rPr>
        <w:t>konsultacijų su pareiškėjais ir operatoriais dėl pajėgumų apribojimų tvarka, kaip tai numatyta Sprendime (ES) 2017/2075;</w:t>
      </w:r>
    </w:p>
    <w:p w14:paraId="1CB57A70" w14:textId="7969D676" w:rsidR="00CB7716" w:rsidRDefault="00C1158D">
      <w:pPr>
        <w:tabs>
          <w:tab w:val="left" w:pos="993"/>
          <w:tab w:val="left" w:pos="1134"/>
          <w:tab w:val="left" w:pos="1276"/>
        </w:tabs>
        <w:ind w:firstLine="720"/>
        <w:jc w:val="both"/>
        <w:rPr>
          <w:color w:val="000000"/>
          <w:szCs w:val="24"/>
        </w:rPr>
      </w:pPr>
      <w:r>
        <w:rPr>
          <w:color w:val="000000"/>
          <w:szCs w:val="24"/>
        </w:rPr>
        <w:t>11.11.12.</w:t>
      </w:r>
      <w:r>
        <w:rPr>
          <w:color w:val="000000"/>
          <w:szCs w:val="24"/>
        </w:rPr>
        <w:tab/>
      </w:r>
      <w:r>
        <w:rPr>
          <w:szCs w:val="24"/>
        </w:rPr>
        <w:t>valdytojo sprendimas tam tikrą viešosios geležinkelių infrastruktūros dalį naudoti tam tikroms vežimo geležinkelių transportu paslaugoms teikti;</w:t>
      </w:r>
    </w:p>
    <w:p w14:paraId="7B8564B6" w14:textId="0AE2D051" w:rsidR="00CB7716" w:rsidRDefault="00C1158D">
      <w:pPr>
        <w:tabs>
          <w:tab w:val="left" w:pos="993"/>
          <w:tab w:val="left" w:pos="1134"/>
          <w:tab w:val="left" w:pos="1276"/>
        </w:tabs>
        <w:ind w:firstLine="720"/>
        <w:jc w:val="both"/>
        <w:rPr>
          <w:color w:val="000000"/>
          <w:szCs w:val="24"/>
        </w:rPr>
      </w:pPr>
      <w:r>
        <w:rPr>
          <w:color w:val="000000"/>
          <w:szCs w:val="24"/>
        </w:rPr>
        <w:t>11.12.</w:t>
      </w:r>
      <w:r>
        <w:rPr>
          <w:color w:val="000000"/>
          <w:szCs w:val="24"/>
        </w:rPr>
        <w:tab/>
        <w:t>pajėgumų skyrimo principai ir tvarka:</w:t>
      </w:r>
      <w:r>
        <w:rPr>
          <w:szCs w:val="24"/>
        </w:rPr>
        <w:t xml:space="preserve"> </w:t>
      </w:r>
    </w:p>
    <w:p w14:paraId="75331A38" w14:textId="23AC162E" w:rsidR="00CB7716" w:rsidRDefault="00C1158D">
      <w:pPr>
        <w:tabs>
          <w:tab w:val="left" w:pos="1134"/>
        </w:tabs>
        <w:ind w:firstLine="720"/>
        <w:jc w:val="both"/>
        <w:rPr>
          <w:szCs w:val="24"/>
        </w:rPr>
      </w:pPr>
      <w:r>
        <w:rPr>
          <w:szCs w:val="24"/>
        </w:rPr>
        <w:t>11.12.1.</w:t>
      </w:r>
      <w:r>
        <w:rPr>
          <w:szCs w:val="24"/>
        </w:rPr>
        <w:tab/>
        <w:t>pareiškėjams ir remonto įmonėms taikomi reikalavimai;</w:t>
      </w:r>
    </w:p>
    <w:p w14:paraId="010D5D13" w14:textId="1CEFE95E" w:rsidR="00CB7716" w:rsidRDefault="00C1158D">
      <w:pPr>
        <w:tabs>
          <w:tab w:val="left" w:pos="1134"/>
        </w:tabs>
        <w:ind w:firstLine="720"/>
        <w:jc w:val="both"/>
        <w:rPr>
          <w:szCs w:val="24"/>
        </w:rPr>
      </w:pPr>
      <w:r>
        <w:rPr>
          <w:szCs w:val="24"/>
        </w:rPr>
        <w:t>11.12.2.</w:t>
      </w:r>
      <w:r>
        <w:rPr>
          <w:szCs w:val="24"/>
        </w:rPr>
        <w:tab/>
        <w:t>tvarka, kuria vadovaujantis vykdoma Kodekso 28 straipsnio 1 ir 2 dalyse nustatytų naudojimosi viešąja geležinkelių infrastruktūra sąlygų laikymosi kontrolė;</w:t>
      </w:r>
    </w:p>
    <w:p w14:paraId="0A78FFF4" w14:textId="66124E77" w:rsidR="00CB7716" w:rsidRDefault="00C1158D">
      <w:pPr>
        <w:tabs>
          <w:tab w:val="left" w:pos="284"/>
          <w:tab w:val="left" w:pos="993"/>
          <w:tab w:val="left" w:pos="1134"/>
        </w:tabs>
        <w:ind w:firstLine="720"/>
        <w:jc w:val="both"/>
        <w:rPr>
          <w:szCs w:val="24"/>
        </w:rPr>
      </w:pPr>
      <w:r>
        <w:rPr>
          <w:szCs w:val="24"/>
        </w:rPr>
        <w:t>11.12.3.</w:t>
      </w:r>
      <w:r>
        <w:rPr>
          <w:szCs w:val="24"/>
        </w:rPr>
        <w:tab/>
        <w:t>valdytojo ir pareiškėjo sutarties dėl pajėgumų skyrimo vieno tarnybinio traukinių tvarkaraščio galiojimo laikotarpiui sudarymo tvarka ir šios sutarties pavyzdinė forma;</w:t>
      </w:r>
    </w:p>
    <w:p w14:paraId="5EFFEAB6" w14:textId="0F3739DD" w:rsidR="00CB7716" w:rsidRDefault="00C1158D">
      <w:pPr>
        <w:tabs>
          <w:tab w:val="left" w:pos="284"/>
          <w:tab w:val="left" w:pos="993"/>
          <w:tab w:val="left" w:pos="1134"/>
        </w:tabs>
        <w:ind w:firstLine="720"/>
        <w:jc w:val="both"/>
        <w:rPr>
          <w:szCs w:val="24"/>
        </w:rPr>
      </w:pPr>
      <w:r>
        <w:rPr>
          <w:szCs w:val="24"/>
        </w:rPr>
        <w:t>11.12.4.</w:t>
      </w:r>
      <w:r>
        <w:rPr>
          <w:szCs w:val="24"/>
        </w:rPr>
        <w:tab/>
        <w:t xml:space="preserve">valdytojo ir geležinkelio įmonės (vežėjo) ar remonto įmonės sutarties dėl naudojimosi viešąja geležinkelių infrastruktūra vienam tarnybinio traukinių tvarkaraščio galiojimo laikotarpiui sudarymo tvarka ir šios sutarties pavyzdinė forma; </w:t>
      </w:r>
    </w:p>
    <w:p w14:paraId="308EC0A5" w14:textId="083BBB62" w:rsidR="00CB7716" w:rsidRDefault="00C1158D">
      <w:pPr>
        <w:tabs>
          <w:tab w:val="left" w:pos="284"/>
          <w:tab w:val="left" w:pos="993"/>
          <w:tab w:val="left" w:pos="1134"/>
        </w:tabs>
        <w:ind w:firstLine="720"/>
        <w:jc w:val="both"/>
        <w:rPr>
          <w:szCs w:val="24"/>
        </w:rPr>
      </w:pPr>
      <w:r>
        <w:rPr>
          <w:szCs w:val="24"/>
        </w:rPr>
        <w:lastRenderedPageBreak/>
        <w:t>11.12.5.</w:t>
      </w:r>
      <w:r>
        <w:rPr>
          <w:szCs w:val="24"/>
        </w:rPr>
        <w:tab/>
        <w:t>paraiškų skirti pajėgumus pateikimo ir nagrinėjimo (įskaitant pavėluotai pateiktų paraiškų skirti pajėgumus) tvarka, terminai, iki kurių turi būti pateiktos ir išnagrinėtos paraiškos skirti pajėgumus;</w:t>
      </w:r>
    </w:p>
    <w:p w14:paraId="6F813C40" w14:textId="3F4A04ED" w:rsidR="00CB7716" w:rsidRDefault="00C1158D">
      <w:pPr>
        <w:tabs>
          <w:tab w:val="left" w:pos="284"/>
          <w:tab w:val="left" w:pos="993"/>
          <w:tab w:val="left" w:pos="1134"/>
        </w:tabs>
        <w:ind w:firstLine="720"/>
        <w:jc w:val="both"/>
        <w:rPr>
          <w:szCs w:val="24"/>
        </w:rPr>
      </w:pPr>
      <w:r>
        <w:rPr>
          <w:szCs w:val="24"/>
        </w:rPr>
        <w:t>11.12.6.</w:t>
      </w:r>
      <w:r>
        <w:rPr>
          <w:szCs w:val="24"/>
        </w:rPr>
        <w:tab/>
        <w:t>paraiškos skirti pajėgumus pavyzdinė forma ir kartu su paraiška teikiamų dokumentų sąrašas;</w:t>
      </w:r>
    </w:p>
    <w:p w14:paraId="4BF159F0" w14:textId="48FEA0AF" w:rsidR="00CB7716" w:rsidRDefault="00C1158D">
      <w:pPr>
        <w:tabs>
          <w:tab w:val="left" w:pos="284"/>
          <w:tab w:val="left" w:pos="993"/>
          <w:tab w:val="left" w:pos="1134"/>
        </w:tabs>
        <w:ind w:firstLine="720"/>
        <w:jc w:val="both"/>
        <w:rPr>
          <w:szCs w:val="24"/>
        </w:rPr>
      </w:pPr>
      <w:r>
        <w:rPr>
          <w:szCs w:val="24"/>
        </w:rPr>
        <w:t>11.12.7.</w:t>
      </w:r>
      <w:r>
        <w:rPr>
          <w:szCs w:val="24"/>
        </w:rPr>
        <w:tab/>
        <w:t>tarnybinio traukinių tvarkaraščio rengimo tvarka, konsultacijų dėl tarnybinio traukinių tvarkaraščio projekto tvarka, tarnybinio traukinių tvarkaraščio projekto pateikimo konsultacijoms, pastabų ir (ar) pasiūlymų dėl tarnybinio traukinių tvarkaraščio projekto, konsultacijų dėl šio projekto pabaigos, galutinio tarnybinio traukinių tvarkaraščio parengimo ir jo išrašų pateikimo pareiškėjams ir (ar) remonto įmonėms terminai;</w:t>
      </w:r>
    </w:p>
    <w:p w14:paraId="05141B3E" w14:textId="04EFEE6C" w:rsidR="00CB7716" w:rsidRDefault="00C1158D">
      <w:pPr>
        <w:tabs>
          <w:tab w:val="left" w:pos="284"/>
          <w:tab w:val="left" w:pos="993"/>
          <w:tab w:val="left" w:pos="1134"/>
        </w:tabs>
        <w:ind w:firstLine="720"/>
        <w:jc w:val="both"/>
        <w:rPr>
          <w:szCs w:val="24"/>
        </w:rPr>
      </w:pPr>
      <w:r>
        <w:rPr>
          <w:szCs w:val="24"/>
        </w:rPr>
        <w:t>11.12.8.</w:t>
      </w:r>
      <w:r>
        <w:rPr>
          <w:szCs w:val="24"/>
        </w:rPr>
        <w:tab/>
        <w:t>paraiškų skirti pajėgumus derinimo tvarka;</w:t>
      </w:r>
    </w:p>
    <w:p w14:paraId="2ED77872" w14:textId="11E9D29A" w:rsidR="00CB7716" w:rsidRDefault="00C1158D">
      <w:pPr>
        <w:tabs>
          <w:tab w:val="left" w:pos="284"/>
          <w:tab w:val="left" w:pos="993"/>
          <w:tab w:val="left" w:pos="1134"/>
        </w:tabs>
        <w:ind w:firstLine="720"/>
        <w:jc w:val="both"/>
        <w:rPr>
          <w:szCs w:val="24"/>
        </w:rPr>
      </w:pPr>
      <w:r>
        <w:rPr>
          <w:szCs w:val="24"/>
        </w:rPr>
        <w:t>11.12.9.</w:t>
      </w:r>
      <w:r>
        <w:rPr>
          <w:szCs w:val="24"/>
        </w:rPr>
        <w:tab/>
        <w:t>ginčų, kurie kyla derinant paraiškas skirti tuo pačius pajėgumus, sprendimo tvarka;</w:t>
      </w:r>
    </w:p>
    <w:p w14:paraId="26F7764F" w14:textId="25BFC2C9" w:rsidR="00CB7716" w:rsidRDefault="00C1158D">
      <w:pPr>
        <w:tabs>
          <w:tab w:val="left" w:pos="426"/>
          <w:tab w:val="left" w:pos="993"/>
          <w:tab w:val="left" w:pos="1134"/>
        </w:tabs>
        <w:ind w:firstLine="720"/>
        <w:jc w:val="both"/>
        <w:rPr>
          <w:szCs w:val="24"/>
        </w:rPr>
      </w:pPr>
      <w:r>
        <w:rPr>
          <w:szCs w:val="24"/>
        </w:rPr>
        <w:t>11.12.10.</w:t>
      </w:r>
      <w:r>
        <w:rPr>
          <w:szCs w:val="24"/>
        </w:rPr>
        <w:tab/>
        <w:t xml:space="preserve">pajėgumų viešosios geležinkelių infrastruktūros statybos, remonto ir (ar) techninės priežiūros darbams atlikti rezervavimo ir planinių bei neplaninių </w:t>
      </w:r>
      <w:r>
        <w:rPr>
          <w:szCs w:val="22"/>
        </w:rPr>
        <w:t>techninės priežiūros darbų grafiko sudarymo tvarka</w:t>
      </w:r>
      <w:r>
        <w:rPr>
          <w:szCs w:val="24"/>
        </w:rPr>
        <w:t>;</w:t>
      </w:r>
    </w:p>
    <w:p w14:paraId="7E828937" w14:textId="476001F7" w:rsidR="00CB7716" w:rsidRDefault="00C1158D">
      <w:pPr>
        <w:tabs>
          <w:tab w:val="left" w:pos="993"/>
          <w:tab w:val="left" w:pos="1134"/>
        </w:tabs>
        <w:ind w:firstLine="720"/>
        <w:jc w:val="both"/>
        <w:rPr>
          <w:szCs w:val="24"/>
        </w:rPr>
      </w:pPr>
      <w:r>
        <w:rPr>
          <w:szCs w:val="24"/>
        </w:rPr>
        <w:t>11.12.11.</w:t>
      </w:r>
      <w:r>
        <w:rPr>
          <w:szCs w:val="24"/>
        </w:rPr>
        <w:tab/>
        <w:t>pareiškėjų patiriamų suvaržymų, įskaitant ekonominį poveikį jų vykdomai keleivių, bagažo ir (ar) krovinių vežimo geležinkelių transportu veiklai, jeigu prašomi pajėgumai nebūtų skirti, vertinimo tvarka, šiam vertinimui atlikti pareiškėjų valdytojui teiktinos informacijos sąrašas, anketa ar klausimynas ir atlikto vertinimo rezultatų įtaka pajėgumų skyrimo procesui;</w:t>
      </w:r>
    </w:p>
    <w:p w14:paraId="4CB6590B" w14:textId="75BF672F" w:rsidR="00CB7716" w:rsidRDefault="00C1158D">
      <w:pPr>
        <w:tabs>
          <w:tab w:val="left" w:pos="284"/>
          <w:tab w:val="left" w:pos="993"/>
          <w:tab w:val="left" w:pos="1134"/>
        </w:tabs>
        <w:ind w:firstLine="720"/>
        <w:jc w:val="both"/>
        <w:rPr>
          <w:szCs w:val="24"/>
        </w:rPr>
      </w:pPr>
      <w:r>
        <w:rPr>
          <w:szCs w:val="24"/>
        </w:rPr>
        <w:t>11.12.12.</w:t>
      </w:r>
      <w:r>
        <w:rPr>
          <w:szCs w:val="24"/>
        </w:rPr>
        <w:tab/>
        <w:t>viešosios geležinkelių infrastruktūros paskelbimo perpildyta tvarka, nuoroda į interneto svetainę, kurioje viešai skelbiama informacija apie perpildytas viešosios geležinkelių infrastruktūros dalis;</w:t>
      </w:r>
    </w:p>
    <w:p w14:paraId="59F7D2B8" w14:textId="5CAFE1B9" w:rsidR="00CB7716" w:rsidRDefault="00C1158D">
      <w:pPr>
        <w:tabs>
          <w:tab w:val="left" w:pos="993"/>
          <w:tab w:val="left" w:pos="1134"/>
        </w:tabs>
        <w:ind w:firstLine="720"/>
        <w:jc w:val="both"/>
        <w:rPr>
          <w:szCs w:val="24"/>
        </w:rPr>
      </w:pPr>
      <w:r>
        <w:rPr>
          <w:szCs w:val="24"/>
        </w:rPr>
        <w:t>11.12.13.</w:t>
      </w:r>
      <w:r>
        <w:rPr>
          <w:szCs w:val="24"/>
        </w:rPr>
        <w:tab/>
        <w:t>prioriteto taisyklės, kuriomis vadovaujantis skiriami pajėgumai perpildytoje viešosios geležinkelių infrastruktūros dalyje, šių taisyklių taikymo tvarka, įskaitant jose nurodytų kriterijų nustatymo (apskaičiavimo) aprašymą;</w:t>
      </w:r>
    </w:p>
    <w:p w14:paraId="65D9F883" w14:textId="5336C334" w:rsidR="00CB7716" w:rsidRDefault="00C1158D">
      <w:pPr>
        <w:tabs>
          <w:tab w:val="left" w:pos="284"/>
          <w:tab w:val="left" w:pos="993"/>
          <w:tab w:val="left" w:pos="1134"/>
        </w:tabs>
        <w:ind w:firstLine="720"/>
        <w:jc w:val="both"/>
        <w:rPr>
          <w:szCs w:val="24"/>
        </w:rPr>
      </w:pPr>
      <w:r>
        <w:rPr>
          <w:szCs w:val="24"/>
        </w:rPr>
        <w:t>11.12.14.</w:t>
      </w:r>
      <w:r>
        <w:rPr>
          <w:szCs w:val="24"/>
        </w:rPr>
        <w:tab/>
        <w:t>pajėgumų skyrimo perpildytoje viešosios geležinkelių infrastruktūros dalyje tvarka;</w:t>
      </w:r>
    </w:p>
    <w:p w14:paraId="135BD568" w14:textId="061EDFAB" w:rsidR="00CB7716" w:rsidRDefault="00C1158D">
      <w:pPr>
        <w:tabs>
          <w:tab w:val="left" w:pos="284"/>
          <w:tab w:val="left" w:pos="993"/>
          <w:tab w:val="left" w:pos="1134"/>
        </w:tabs>
        <w:ind w:firstLine="720"/>
        <w:jc w:val="both"/>
        <w:rPr>
          <w:szCs w:val="24"/>
        </w:rPr>
      </w:pPr>
      <w:r>
        <w:rPr>
          <w:szCs w:val="24"/>
        </w:rPr>
        <w:t>11.12.15.</w:t>
      </w:r>
      <w:r>
        <w:rPr>
          <w:szCs w:val="24"/>
        </w:rPr>
        <w:tab/>
      </w:r>
      <w:r>
        <w:rPr>
          <w:szCs w:val="22"/>
        </w:rPr>
        <w:t>sprendimų dėl pajėgumų skyrimo ar atsisakymo juos skirti priėmimo tvarka ir terminai;</w:t>
      </w:r>
    </w:p>
    <w:p w14:paraId="00735484" w14:textId="009F9EC8" w:rsidR="00CB7716" w:rsidRDefault="00C1158D">
      <w:pPr>
        <w:tabs>
          <w:tab w:val="left" w:pos="284"/>
          <w:tab w:val="left" w:pos="993"/>
          <w:tab w:val="left" w:pos="1134"/>
        </w:tabs>
        <w:ind w:firstLine="720"/>
        <w:jc w:val="both"/>
        <w:rPr>
          <w:szCs w:val="24"/>
        </w:rPr>
      </w:pPr>
      <w:r>
        <w:rPr>
          <w:szCs w:val="24"/>
        </w:rPr>
        <w:t>11.12.16.</w:t>
      </w:r>
      <w:r>
        <w:rPr>
          <w:szCs w:val="24"/>
        </w:rPr>
        <w:tab/>
        <w:t>paskutinės minutės paraiškų skirti pajėgumus pateikimo, nagrinėjimo ir sprendimų dėl pajėgumų pagal šias paraiškas skyrimo ar atsisakymo juos skirti priėmimo tvarka ir terminai;</w:t>
      </w:r>
    </w:p>
    <w:p w14:paraId="614BD8B8" w14:textId="4AD164FA" w:rsidR="00CB7716" w:rsidRDefault="00C1158D">
      <w:pPr>
        <w:tabs>
          <w:tab w:val="left" w:pos="284"/>
          <w:tab w:val="left" w:pos="993"/>
          <w:tab w:val="left" w:pos="1134"/>
        </w:tabs>
        <w:ind w:firstLine="720"/>
        <w:jc w:val="both"/>
        <w:rPr>
          <w:szCs w:val="24"/>
        </w:rPr>
      </w:pPr>
      <w:r>
        <w:rPr>
          <w:szCs w:val="24"/>
        </w:rPr>
        <w:t>11.12.17.</w:t>
      </w:r>
      <w:r>
        <w:rPr>
          <w:szCs w:val="24"/>
        </w:rPr>
        <w:tab/>
        <w:t xml:space="preserve">paskutinės minutės paraiškos skirti pajėgumus pavyzdinė forma ir kartu su šia paraiška teikiamų dokumentų sąrašas; </w:t>
      </w:r>
    </w:p>
    <w:p w14:paraId="1BDF94BD" w14:textId="5771F0FA" w:rsidR="00CB7716" w:rsidRDefault="00C1158D">
      <w:pPr>
        <w:tabs>
          <w:tab w:val="left" w:pos="284"/>
          <w:tab w:val="left" w:pos="993"/>
          <w:tab w:val="left" w:pos="1134"/>
        </w:tabs>
        <w:ind w:firstLine="720"/>
        <w:jc w:val="both"/>
        <w:rPr>
          <w:szCs w:val="24"/>
        </w:rPr>
      </w:pPr>
      <w:r>
        <w:rPr>
          <w:szCs w:val="24"/>
        </w:rPr>
        <w:t>11.12.18.</w:t>
      </w:r>
      <w:r>
        <w:rPr>
          <w:szCs w:val="24"/>
        </w:rPr>
        <w:tab/>
        <w:t xml:space="preserve">pareiškėjų ar remonto įmonių informavimo apie priimtus sprendimus </w:t>
      </w:r>
      <w:r>
        <w:rPr>
          <w:szCs w:val="22"/>
        </w:rPr>
        <w:t xml:space="preserve">skirti pajėgumus ar atsisakyti juos skirti tvarka ir terminai, šių sprendimų apskundimo tvarka ir terminai; </w:t>
      </w:r>
    </w:p>
    <w:p w14:paraId="504D91DB" w14:textId="006183CD" w:rsidR="00CB7716" w:rsidRDefault="00C1158D">
      <w:pPr>
        <w:tabs>
          <w:tab w:val="left" w:pos="1134"/>
        </w:tabs>
        <w:ind w:firstLine="720"/>
        <w:jc w:val="both"/>
        <w:rPr>
          <w:szCs w:val="24"/>
        </w:rPr>
      </w:pPr>
      <w:r>
        <w:rPr>
          <w:szCs w:val="24"/>
        </w:rPr>
        <w:t>11.12.19.</w:t>
      </w:r>
      <w:r>
        <w:rPr>
          <w:szCs w:val="24"/>
        </w:rPr>
        <w:tab/>
        <w:t>informacija apie bendrąjį susitarimą dėl pajėgumų skyrimo (toliau – bendrasis susitarimas):</w:t>
      </w:r>
    </w:p>
    <w:p w14:paraId="05F7991F" w14:textId="21949FF7" w:rsidR="00CB7716" w:rsidRDefault="00C1158D">
      <w:pPr>
        <w:tabs>
          <w:tab w:val="left" w:pos="993"/>
          <w:tab w:val="left" w:pos="1134"/>
        </w:tabs>
        <w:ind w:firstLine="709"/>
        <w:jc w:val="both"/>
        <w:rPr>
          <w:szCs w:val="24"/>
        </w:rPr>
      </w:pPr>
      <w:r>
        <w:rPr>
          <w:szCs w:val="24"/>
        </w:rPr>
        <w:t>11.12.19.1.</w:t>
      </w:r>
      <w:r>
        <w:rPr>
          <w:szCs w:val="24"/>
        </w:rPr>
        <w:tab/>
        <w:t>jeigu valdytojas nesiūlo sudaryti bendrųjų susitarimų ir tokių bendrųjų susitarimų nėra sudaręs, – Reglamento (ES) 2016/545 14 straipsnyje nurodytas pranešimas;</w:t>
      </w:r>
    </w:p>
    <w:p w14:paraId="2370A559" w14:textId="2087BDE2" w:rsidR="00CB7716" w:rsidRDefault="00C1158D">
      <w:pPr>
        <w:tabs>
          <w:tab w:val="left" w:pos="1134"/>
        </w:tabs>
        <w:ind w:firstLine="709"/>
        <w:jc w:val="both"/>
        <w:rPr>
          <w:szCs w:val="24"/>
        </w:rPr>
      </w:pPr>
      <w:r>
        <w:rPr>
          <w:szCs w:val="24"/>
        </w:rPr>
        <w:t>11.12.19.2.</w:t>
      </w:r>
      <w:r>
        <w:rPr>
          <w:szCs w:val="24"/>
        </w:rPr>
        <w:tab/>
        <w:t>jeigu valdytojas siūlo sudaryti bendruosius susitarimus:</w:t>
      </w:r>
    </w:p>
    <w:p w14:paraId="6320C715" w14:textId="122E68FE" w:rsidR="00CB7716" w:rsidRDefault="00C1158D">
      <w:pPr>
        <w:tabs>
          <w:tab w:val="left" w:pos="1134"/>
        </w:tabs>
        <w:ind w:firstLine="709"/>
        <w:jc w:val="both"/>
        <w:rPr>
          <w:szCs w:val="24"/>
        </w:rPr>
      </w:pPr>
      <w:r>
        <w:rPr>
          <w:szCs w:val="24"/>
        </w:rPr>
        <w:t>11.12.19.2.1. bendrojo susitarimo sudarymo tvarka ir bendrojo susitarimo pavyzdinė forma;</w:t>
      </w:r>
    </w:p>
    <w:p w14:paraId="5E8C2F89" w14:textId="63277837" w:rsidR="00CB7716" w:rsidRDefault="00C1158D">
      <w:pPr>
        <w:tabs>
          <w:tab w:val="left" w:pos="1134"/>
        </w:tabs>
        <w:ind w:firstLine="709"/>
        <w:jc w:val="both"/>
        <w:rPr>
          <w:szCs w:val="24"/>
        </w:rPr>
      </w:pPr>
      <w:r>
        <w:rPr>
          <w:szCs w:val="24"/>
        </w:rPr>
        <w:t>11.12.19.2.2. pranešimas apie pamatinius pajėgumus arba nuoroda į interneto svetainę, kurioje skelbiamas šis pranešimas arba bent jau kiekvieno sudaryto bendrojo susitarimo pobūdis, kaip tai numatyta Reglamento (ES) 2016/545 3 straipsnio 3 dalyje;</w:t>
      </w:r>
    </w:p>
    <w:p w14:paraId="3A53C978" w14:textId="62A18CE4" w:rsidR="00CB7716" w:rsidRDefault="00C1158D">
      <w:pPr>
        <w:tabs>
          <w:tab w:val="left" w:pos="1134"/>
        </w:tabs>
        <w:ind w:firstLine="709"/>
        <w:jc w:val="both"/>
        <w:rPr>
          <w:szCs w:val="24"/>
        </w:rPr>
      </w:pPr>
      <w:r>
        <w:rPr>
          <w:szCs w:val="24"/>
        </w:rPr>
        <w:t xml:space="preserve">11.12.19.2.3. veiksniai, į kuriuos </w:t>
      </w:r>
      <w:r>
        <w:rPr>
          <w:szCs w:val="22"/>
        </w:rPr>
        <w:t>ketinama atsižvelgti sudarant naują bendrąjį susitarimą arba praplėsti ar iš esmės padidinti galiojančiame bendrajame susitarime numatytus pamatinius pajėgumus,</w:t>
      </w:r>
      <w:r>
        <w:rPr>
          <w:szCs w:val="24"/>
        </w:rPr>
        <w:t xml:space="preserve"> kaip tai numatyta Reglamento (ES) 2016/545 6 straipsnio 1 dalyje; </w:t>
      </w:r>
    </w:p>
    <w:p w14:paraId="7CD5AC9D" w14:textId="4DAD60BD" w:rsidR="00CB7716" w:rsidRDefault="00C1158D">
      <w:pPr>
        <w:tabs>
          <w:tab w:val="left" w:pos="1134"/>
        </w:tabs>
        <w:ind w:firstLine="709"/>
        <w:jc w:val="both"/>
        <w:rPr>
          <w:szCs w:val="24"/>
        </w:rPr>
      </w:pPr>
      <w:r>
        <w:rPr>
          <w:szCs w:val="24"/>
        </w:rPr>
        <w:t>11.12.19.2.4. metodo, pagal kurį valdytojas apskaičiuoja didžiausius pajėgumus, aprašymas, kaip tai numatyta Reglamento (ES) 2016/545 8 straipsnio 2 dalyje;</w:t>
      </w:r>
    </w:p>
    <w:p w14:paraId="3E87BFAC" w14:textId="6AB7FA42" w:rsidR="00CB7716" w:rsidRDefault="00C1158D">
      <w:pPr>
        <w:tabs>
          <w:tab w:val="left" w:pos="284"/>
          <w:tab w:val="left" w:pos="993"/>
          <w:tab w:val="left" w:pos="1134"/>
        </w:tabs>
        <w:ind w:firstLine="709"/>
        <w:jc w:val="both"/>
        <w:rPr>
          <w:szCs w:val="24"/>
        </w:rPr>
      </w:pPr>
      <w:r>
        <w:rPr>
          <w:szCs w:val="24"/>
        </w:rPr>
        <w:lastRenderedPageBreak/>
        <w:t>11.12.19.2.5. reikalavimai, susiję su bendrųjų susitarimų pagrindu naudojama pamatinių pajėgumų dalimi, kaip tai numatyta Reglamento (ES) 2016/545 11 straipsnio 3 dalyje;</w:t>
      </w:r>
    </w:p>
    <w:p w14:paraId="3A6389CF" w14:textId="19A17268" w:rsidR="00CB7716" w:rsidRDefault="00C1158D">
      <w:pPr>
        <w:tabs>
          <w:tab w:val="left" w:pos="284"/>
          <w:tab w:val="left" w:pos="993"/>
          <w:tab w:val="left" w:pos="1134"/>
        </w:tabs>
        <w:ind w:firstLine="720"/>
        <w:jc w:val="both"/>
        <w:rPr>
          <w:szCs w:val="24"/>
        </w:rPr>
      </w:pPr>
      <w:r>
        <w:rPr>
          <w:szCs w:val="24"/>
        </w:rPr>
        <w:t>11.12.20.</w:t>
      </w:r>
      <w:r>
        <w:rPr>
          <w:szCs w:val="24"/>
        </w:rPr>
        <w:tab/>
        <w:t xml:space="preserve"> bendradarbiavimas ir jo būdai, kiti svarbūs kriterijai, pagal kuriuos įvertinami ir skiriami pajėgumai, kai pajėgumai skiriami daugiau nei viename Europos Sąjungos valstybės narės geležinkelių tinkle;</w:t>
      </w:r>
    </w:p>
    <w:p w14:paraId="0A9CF677" w14:textId="0293CB5E" w:rsidR="00CB7716" w:rsidRDefault="00C1158D">
      <w:pPr>
        <w:tabs>
          <w:tab w:val="left" w:pos="284"/>
          <w:tab w:val="left" w:pos="993"/>
          <w:tab w:val="left" w:pos="1134"/>
        </w:tabs>
        <w:ind w:firstLine="720"/>
        <w:jc w:val="both"/>
        <w:rPr>
          <w:szCs w:val="24"/>
        </w:rPr>
      </w:pPr>
      <w:r>
        <w:rPr>
          <w:szCs w:val="24"/>
        </w:rPr>
        <w:t>11.12.21.</w:t>
      </w:r>
      <w:r>
        <w:rPr>
          <w:szCs w:val="24"/>
        </w:rPr>
        <w:tab/>
        <w:t xml:space="preserve">priežastys dėl kurių valdytojas, po susitarimo su </w:t>
      </w:r>
      <w:r>
        <w:rPr>
          <w:color w:val="000000"/>
          <w:szCs w:val="24"/>
        </w:rPr>
        <w:t>kitų Europos Sąjungos valstybių narių geležinkelių infrastruktūros valdytojais ar pajėgumus skirsiančiomis įstaigomis</w:t>
      </w:r>
      <w:r>
        <w:rPr>
          <w:szCs w:val="24"/>
        </w:rPr>
        <w:t xml:space="preserve"> dėl pajėgumų įtraukimo į tarnybinį traukinių tvarkaraščio projektą ir pasikonsultavus dėl tarnybinio traukinių tvarkaraščio projekto, gali atlikti tarnybinio traukinių tvarkaraščio projekto pakeitimus;</w:t>
      </w:r>
    </w:p>
    <w:p w14:paraId="42A7DCD1" w14:textId="4DEA06BB" w:rsidR="00CB7716" w:rsidRDefault="00C1158D">
      <w:pPr>
        <w:tabs>
          <w:tab w:val="left" w:pos="284"/>
          <w:tab w:val="left" w:pos="993"/>
          <w:tab w:val="left" w:pos="1134"/>
        </w:tabs>
        <w:ind w:firstLine="720"/>
        <w:jc w:val="both"/>
        <w:rPr>
          <w:color w:val="000000"/>
          <w:szCs w:val="24"/>
        </w:rPr>
      </w:pPr>
      <w:r>
        <w:rPr>
          <w:color w:val="000000"/>
          <w:szCs w:val="24"/>
        </w:rPr>
        <w:t>11.12.22.</w:t>
      </w:r>
      <w:r>
        <w:rPr>
          <w:color w:val="000000"/>
          <w:szCs w:val="24"/>
        </w:rPr>
        <w:tab/>
        <w:t xml:space="preserve"> jei taikoma, skirtų pajėgumų keitimo tvarka;</w:t>
      </w:r>
    </w:p>
    <w:p w14:paraId="3CCF107F" w14:textId="69EFED9D" w:rsidR="00CB7716" w:rsidRDefault="00C1158D">
      <w:pPr>
        <w:tabs>
          <w:tab w:val="left" w:pos="284"/>
          <w:tab w:val="left" w:pos="993"/>
          <w:tab w:val="left" w:pos="1134"/>
        </w:tabs>
        <w:ind w:firstLine="720"/>
        <w:jc w:val="both"/>
        <w:rPr>
          <w:color w:val="000000"/>
          <w:szCs w:val="24"/>
        </w:rPr>
      </w:pPr>
      <w:r>
        <w:rPr>
          <w:color w:val="000000"/>
          <w:szCs w:val="24"/>
        </w:rPr>
        <w:t>11.12.23.</w:t>
      </w:r>
      <w:r>
        <w:rPr>
          <w:color w:val="000000"/>
          <w:szCs w:val="24"/>
        </w:rPr>
        <w:tab/>
      </w:r>
      <w:r>
        <w:rPr>
          <w:szCs w:val="24"/>
        </w:rPr>
        <w:t xml:space="preserve">prašymų atsisakyti skirtų </w:t>
      </w:r>
      <w:r>
        <w:rPr>
          <w:color w:val="000000"/>
          <w:szCs w:val="24"/>
        </w:rPr>
        <w:t>pajėgumų, pateikimo, nagrinėjimo ir sprendimų dėl šių prašymų priėmimo tvarka ir terminai;</w:t>
      </w:r>
    </w:p>
    <w:p w14:paraId="34C2B306" w14:textId="7BE3C928" w:rsidR="00CB7716" w:rsidRDefault="00C1158D">
      <w:pPr>
        <w:tabs>
          <w:tab w:val="left" w:pos="284"/>
          <w:tab w:val="left" w:pos="993"/>
          <w:tab w:val="left" w:pos="1134"/>
        </w:tabs>
        <w:ind w:firstLine="720"/>
        <w:jc w:val="both"/>
        <w:rPr>
          <w:szCs w:val="24"/>
        </w:rPr>
      </w:pPr>
      <w:r>
        <w:rPr>
          <w:szCs w:val="24"/>
        </w:rPr>
        <w:t>11.12.24.</w:t>
      </w:r>
      <w:r>
        <w:rPr>
          <w:szCs w:val="24"/>
        </w:rPr>
        <w:tab/>
        <w:t>sprendimų panaikinti skirtus pajėgumus priėmimo tvarka, įskaitant pajėgumų panaudojimo ribinę normą, taikomą perpildytoje infrastruktūros dalyje, jos apskaičiavimo ir atitikties jai vertinimo tvarką;</w:t>
      </w:r>
    </w:p>
    <w:p w14:paraId="774124E7" w14:textId="27E1CB9F" w:rsidR="00CB7716" w:rsidRDefault="00C1158D">
      <w:pPr>
        <w:tabs>
          <w:tab w:val="left" w:pos="284"/>
          <w:tab w:val="left" w:pos="993"/>
          <w:tab w:val="left" w:pos="1134"/>
        </w:tabs>
        <w:ind w:firstLine="720"/>
        <w:jc w:val="both"/>
        <w:rPr>
          <w:szCs w:val="24"/>
        </w:rPr>
      </w:pPr>
      <w:r>
        <w:rPr>
          <w:szCs w:val="24"/>
        </w:rPr>
        <w:t>11.12.25.</w:t>
      </w:r>
      <w:r>
        <w:rPr>
          <w:szCs w:val="24"/>
        </w:rPr>
        <w:tab/>
        <w:t>naudojimosi viešąja geležinkelių infrastruktūra, įvykus nenumatytiems atvejams, apribojimai ir valdytojo nenumatytų atvejų planas;</w:t>
      </w:r>
    </w:p>
    <w:p w14:paraId="2897FCB8" w14:textId="6D4F1C65" w:rsidR="00CB7716" w:rsidRDefault="00C1158D">
      <w:pPr>
        <w:tabs>
          <w:tab w:val="left" w:pos="284"/>
          <w:tab w:val="left" w:pos="993"/>
          <w:tab w:val="left" w:pos="1134"/>
        </w:tabs>
        <w:ind w:firstLine="720"/>
        <w:jc w:val="both"/>
        <w:rPr>
          <w:szCs w:val="24"/>
        </w:rPr>
      </w:pPr>
      <w:r>
        <w:rPr>
          <w:szCs w:val="24"/>
        </w:rPr>
        <w:t>11.12.26.</w:t>
      </w:r>
      <w:r>
        <w:rPr>
          <w:szCs w:val="24"/>
        </w:rPr>
        <w:tab/>
        <w:t>pajėgumų analizės atlikimo ir pajėgumų didinimo plano rengimo tvarka ir nuoroda į interneto svetainę, kurioje viešai skelbiami atliktos pajėgumų analizės rezultatai ir parengtas pajėgumų didinimo planas</w:t>
      </w:r>
      <w:r>
        <w:rPr>
          <w:sz w:val="16"/>
          <w:szCs w:val="16"/>
        </w:rPr>
        <w:t>;</w:t>
      </w:r>
    </w:p>
    <w:p w14:paraId="78B31532" w14:textId="7A512271" w:rsidR="00CB7716" w:rsidRDefault="00C1158D">
      <w:pPr>
        <w:tabs>
          <w:tab w:val="left" w:pos="993"/>
          <w:tab w:val="left" w:pos="1134"/>
        </w:tabs>
        <w:ind w:firstLine="720"/>
        <w:jc w:val="both"/>
        <w:rPr>
          <w:color w:val="000000"/>
          <w:szCs w:val="24"/>
        </w:rPr>
      </w:pPr>
      <w:r>
        <w:rPr>
          <w:color w:val="000000"/>
          <w:szCs w:val="24"/>
        </w:rPr>
        <w:t>11.13.</w:t>
      </w:r>
      <w:r>
        <w:rPr>
          <w:color w:val="000000"/>
          <w:szCs w:val="24"/>
        </w:rPr>
        <w:tab/>
        <w:t>prieigos prie viešosios geležinkelių infrastruktūros apmokestinimo principai ir taikomi užmokesčiai:</w:t>
      </w:r>
    </w:p>
    <w:p w14:paraId="01425875" w14:textId="025DD542" w:rsidR="00CB7716" w:rsidRDefault="00C1158D">
      <w:pPr>
        <w:tabs>
          <w:tab w:val="left" w:pos="993"/>
          <w:tab w:val="left" w:pos="1266"/>
        </w:tabs>
        <w:ind w:firstLine="720"/>
        <w:jc w:val="both"/>
        <w:rPr>
          <w:color w:val="000000"/>
          <w:szCs w:val="24"/>
        </w:rPr>
      </w:pPr>
      <w:r>
        <w:rPr>
          <w:color w:val="000000"/>
          <w:szCs w:val="24"/>
        </w:rPr>
        <w:t>11.13.1.</w:t>
      </w:r>
      <w:r>
        <w:rPr>
          <w:color w:val="000000"/>
          <w:szCs w:val="24"/>
        </w:rPr>
        <w:tab/>
        <w:t>užmokesčio už minimalųjį prieigos paketą dalių nustatymo, šį užmokestį sudarančių įmokų tarifų ir geležinkelio įmonių (vežėjų) ir remonto įmonių mokėtino užmokesčio už minimalųjį prieigos paketą dydžio apskaičiavimo ir mokėjimo tvarka;</w:t>
      </w:r>
    </w:p>
    <w:p w14:paraId="42E1B123" w14:textId="28AF5EA0" w:rsidR="00CB7716" w:rsidRDefault="00C1158D">
      <w:pPr>
        <w:tabs>
          <w:tab w:val="left" w:pos="993"/>
          <w:tab w:val="left" w:pos="1266"/>
        </w:tabs>
        <w:ind w:firstLine="720"/>
        <w:jc w:val="both"/>
        <w:rPr>
          <w:color w:val="000000"/>
          <w:szCs w:val="24"/>
        </w:rPr>
      </w:pPr>
      <w:r>
        <w:rPr>
          <w:color w:val="000000"/>
          <w:szCs w:val="24"/>
        </w:rPr>
        <w:t>11.13.2.</w:t>
      </w:r>
      <w:r>
        <w:rPr>
          <w:color w:val="000000"/>
          <w:szCs w:val="24"/>
        </w:rPr>
        <w:tab/>
        <w:t>išlaidų, tiesiogiai patiriamų dėl traukinių eksploatavimo, priskyrimo tvarkos aprašas tokia apimtimi, kiek tai nėra susiję su valdytojo komercinių ir profesinių paslapčių apsauga;</w:t>
      </w:r>
    </w:p>
    <w:p w14:paraId="790BDD74" w14:textId="7AE76F98" w:rsidR="00CB7716" w:rsidRDefault="00C1158D">
      <w:pPr>
        <w:tabs>
          <w:tab w:val="left" w:pos="993"/>
          <w:tab w:val="left" w:pos="1266"/>
        </w:tabs>
        <w:ind w:firstLine="720"/>
        <w:jc w:val="both"/>
        <w:rPr>
          <w:color w:val="000000"/>
          <w:szCs w:val="24"/>
        </w:rPr>
      </w:pPr>
      <w:r>
        <w:rPr>
          <w:color w:val="000000"/>
          <w:szCs w:val="24"/>
        </w:rPr>
        <w:t>11.13.3.</w:t>
      </w:r>
      <w:r>
        <w:rPr>
          <w:color w:val="000000"/>
          <w:szCs w:val="24"/>
        </w:rPr>
        <w:tab/>
        <w:t>užmokesčio už minimalųjį prieigos paketą įmokų tarifai;</w:t>
      </w:r>
    </w:p>
    <w:p w14:paraId="38B4F764" w14:textId="5870FEED" w:rsidR="00CB7716" w:rsidRDefault="00C1158D">
      <w:pPr>
        <w:tabs>
          <w:tab w:val="left" w:pos="993"/>
          <w:tab w:val="left" w:pos="1266"/>
        </w:tabs>
        <w:ind w:firstLine="720"/>
        <w:jc w:val="both"/>
        <w:rPr>
          <w:color w:val="000000"/>
          <w:szCs w:val="22"/>
        </w:rPr>
      </w:pPr>
      <w:r>
        <w:rPr>
          <w:color w:val="000000"/>
          <w:szCs w:val="22"/>
        </w:rPr>
        <w:t>11.13.4.</w:t>
      </w:r>
      <w:r>
        <w:rPr>
          <w:color w:val="000000"/>
          <w:szCs w:val="22"/>
        </w:rPr>
        <w:tab/>
        <w:t>baudų už traukinių eismo sutrikdymus ir kompensacijų dėl tokių sutrikdymų nukentėjusioms įmonėms nustatymo, skyrimo ir mokėjimo tvarka, sprendimų dėl tokių baudų ir (ar) kompensacijų apskundimo tvarka, skundų nagrinėjimo tvarka ir terminai;</w:t>
      </w:r>
    </w:p>
    <w:p w14:paraId="49FA142D" w14:textId="6DE96ED5" w:rsidR="00CB7716" w:rsidRDefault="00C1158D">
      <w:pPr>
        <w:tabs>
          <w:tab w:val="left" w:pos="993"/>
          <w:tab w:val="left" w:pos="1266"/>
        </w:tabs>
        <w:ind w:firstLine="720"/>
        <w:jc w:val="both"/>
        <w:rPr>
          <w:color w:val="000000"/>
          <w:szCs w:val="22"/>
        </w:rPr>
      </w:pPr>
      <w:r>
        <w:rPr>
          <w:color w:val="000000"/>
          <w:szCs w:val="22"/>
        </w:rPr>
        <w:t>11.13.5.</w:t>
      </w:r>
      <w:r>
        <w:rPr>
          <w:color w:val="000000"/>
          <w:szCs w:val="22"/>
        </w:rPr>
        <w:tab/>
        <w:t>geležinkelio įmonių (vežėjų) teiktinų duomenų valdytojui, siekiant nustatyti vežimo geležinkelių transportu rinkos segmentus, kuriuose gali būti taikomi antkainiai, apimtis ir tvarka;</w:t>
      </w:r>
    </w:p>
    <w:p w14:paraId="26C44023" w14:textId="40C18192" w:rsidR="00CB7716" w:rsidRDefault="00C1158D">
      <w:pPr>
        <w:tabs>
          <w:tab w:val="left" w:pos="993"/>
          <w:tab w:val="left" w:pos="1266"/>
        </w:tabs>
        <w:ind w:firstLine="720"/>
        <w:jc w:val="both"/>
        <w:rPr>
          <w:color w:val="000000"/>
          <w:szCs w:val="22"/>
        </w:rPr>
      </w:pPr>
      <w:r>
        <w:rPr>
          <w:color w:val="000000"/>
          <w:szCs w:val="22"/>
        </w:rPr>
        <w:t>11.13.6.</w:t>
      </w:r>
      <w:r>
        <w:rPr>
          <w:color w:val="000000"/>
          <w:szCs w:val="22"/>
        </w:rPr>
        <w:tab/>
        <w:t>vežimo geležinkelių transportu rinkos segmentų vertinimo ir nustatymo metodika;</w:t>
      </w:r>
    </w:p>
    <w:p w14:paraId="6B8BE0AB" w14:textId="1BD6E89C" w:rsidR="00CB7716" w:rsidRDefault="00C1158D">
      <w:pPr>
        <w:tabs>
          <w:tab w:val="left" w:pos="993"/>
          <w:tab w:val="left" w:pos="1266"/>
        </w:tabs>
        <w:ind w:firstLine="720"/>
        <w:jc w:val="both"/>
        <w:rPr>
          <w:color w:val="000000"/>
          <w:szCs w:val="22"/>
        </w:rPr>
      </w:pPr>
      <w:r>
        <w:rPr>
          <w:color w:val="000000"/>
          <w:szCs w:val="22"/>
        </w:rPr>
        <w:t>11.13.7.</w:t>
      </w:r>
      <w:r>
        <w:rPr>
          <w:color w:val="000000"/>
          <w:szCs w:val="22"/>
        </w:rPr>
        <w:tab/>
        <w:t>vežimo geležinkelių transportu rinkos segmentų, kuriuose gali būti taikomi antkainiai, sąrašas;</w:t>
      </w:r>
    </w:p>
    <w:p w14:paraId="7E27AD4F" w14:textId="187A7944" w:rsidR="00CB7716" w:rsidRDefault="00C1158D">
      <w:pPr>
        <w:tabs>
          <w:tab w:val="left" w:pos="993"/>
          <w:tab w:val="left" w:pos="1266"/>
        </w:tabs>
        <w:ind w:firstLine="720"/>
        <w:jc w:val="both"/>
        <w:rPr>
          <w:color w:val="000000"/>
          <w:szCs w:val="22"/>
        </w:rPr>
      </w:pPr>
      <w:r>
        <w:rPr>
          <w:color w:val="000000"/>
          <w:szCs w:val="22"/>
        </w:rPr>
        <w:t>11.13.8.</w:t>
      </w:r>
      <w:r>
        <w:rPr>
          <w:color w:val="000000"/>
          <w:szCs w:val="22"/>
        </w:rPr>
        <w:tab/>
        <w:t>kriterijai, kuriais remiantis yra nustatoma, kad pajėgumai ar jų dalis nenaudojami reguliariai;</w:t>
      </w:r>
    </w:p>
    <w:p w14:paraId="44A7B29E" w14:textId="05CE7639" w:rsidR="00CB7716" w:rsidRDefault="00C1158D">
      <w:pPr>
        <w:tabs>
          <w:tab w:val="left" w:pos="993"/>
          <w:tab w:val="left" w:pos="1266"/>
        </w:tabs>
        <w:ind w:firstLine="720"/>
        <w:jc w:val="both"/>
        <w:rPr>
          <w:color w:val="000000"/>
          <w:szCs w:val="22"/>
        </w:rPr>
      </w:pPr>
      <w:r>
        <w:rPr>
          <w:color w:val="000000"/>
          <w:szCs w:val="22"/>
        </w:rPr>
        <w:t>11.13.9.</w:t>
      </w:r>
      <w:r>
        <w:rPr>
          <w:color w:val="000000"/>
          <w:szCs w:val="22"/>
        </w:rPr>
        <w:tab/>
        <w:t>užmokesčio už skirtus, bet nepanaudotus pajėgumus, dydžio apskaičiavimo ir mokėjimo tvarka;</w:t>
      </w:r>
    </w:p>
    <w:p w14:paraId="558E0BFC" w14:textId="17461AAA" w:rsidR="00CB7716" w:rsidRDefault="00C1158D">
      <w:pPr>
        <w:tabs>
          <w:tab w:val="left" w:pos="993"/>
          <w:tab w:val="left" w:pos="1266"/>
        </w:tabs>
        <w:ind w:firstLine="720"/>
        <w:jc w:val="both"/>
        <w:rPr>
          <w:color w:val="000000"/>
          <w:szCs w:val="22"/>
        </w:rPr>
      </w:pPr>
      <w:r>
        <w:rPr>
          <w:color w:val="000000"/>
          <w:szCs w:val="22"/>
        </w:rPr>
        <w:t>11.13.10.</w:t>
      </w:r>
      <w:r>
        <w:rPr>
          <w:color w:val="000000"/>
          <w:szCs w:val="22"/>
        </w:rPr>
        <w:tab/>
        <w:t>informacija apie jau nustatytus arba per ateinančius 5 metus numatomus nustatyti užmokesčių už prieigą prie viešosios geležinkelių infrastruktūros pakeitimus, jei apie juos žinoma;</w:t>
      </w:r>
    </w:p>
    <w:p w14:paraId="3F9D0848" w14:textId="6A6B9767" w:rsidR="00CB7716" w:rsidRDefault="00C1158D">
      <w:pPr>
        <w:tabs>
          <w:tab w:val="left" w:pos="993"/>
        </w:tabs>
        <w:ind w:firstLine="720"/>
        <w:jc w:val="both"/>
        <w:rPr>
          <w:color w:val="000000"/>
          <w:szCs w:val="22"/>
        </w:rPr>
      </w:pPr>
      <w:r>
        <w:rPr>
          <w:color w:val="000000"/>
          <w:szCs w:val="22"/>
        </w:rPr>
        <w:t>11.14.</w:t>
      </w:r>
      <w:r>
        <w:rPr>
          <w:color w:val="000000"/>
          <w:szCs w:val="22"/>
        </w:rPr>
        <w:tab/>
        <w:t>informacija apie geležinkelių paslaugų įrenginius ir šiuose įrenginiuose teikiamas su geležinkelių transportu susijusias pagrindines, papildomas ir pagalbines paslaugas, geležinkelio kelius, sujungtus su geležinkelių paslaugų įrenginiais:</w:t>
      </w:r>
    </w:p>
    <w:p w14:paraId="7A1D7990" w14:textId="62ACE825" w:rsidR="00CB7716" w:rsidRDefault="00C1158D">
      <w:pPr>
        <w:tabs>
          <w:tab w:val="left" w:pos="993"/>
          <w:tab w:val="left" w:pos="1134"/>
          <w:tab w:val="left" w:pos="1266"/>
        </w:tabs>
        <w:ind w:firstLine="720"/>
        <w:jc w:val="both"/>
        <w:rPr>
          <w:color w:val="000000"/>
          <w:szCs w:val="24"/>
        </w:rPr>
      </w:pPr>
      <w:r>
        <w:rPr>
          <w:color w:val="000000"/>
          <w:szCs w:val="24"/>
        </w:rPr>
        <w:t>11.14.1.</w:t>
      </w:r>
      <w:r>
        <w:rPr>
          <w:color w:val="000000"/>
          <w:szCs w:val="24"/>
        </w:rPr>
        <w:tab/>
      </w:r>
      <w:r>
        <w:rPr>
          <w:color w:val="000000"/>
          <w:szCs w:val="22"/>
        </w:rPr>
        <w:t xml:space="preserve">operatorių privalomi paskelbti geležinkelių paslaugų įrenginių ir šiuose įrenginiuose teikiamų su geležinkelių transportu susijusių pagrindinių, papildomų ir pagalbinių paslaugų aprašai, kuriuose pateikiama informacija apie technines prieigos prie geležinkelių paslaugų įrenginių ir šiuose įrenginiuose teikiamų su geležinkelių transportu susijusių pagrindinių, papildomų ir pagalbinių paslaugų sąlygas ir prieigos prie įrenginių ir šiuose įrenginiuose teikiamų su geležinkelių transportu susijusių pagrindinių, papildomų ir pagalbinių paslaugų apmokestinimą ir </w:t>
      </w:r>
      <w:r>
        <w:rPr>
          <w:color w:val="000000"/>
          <w:szCs w:val="22"/>
        </w:rPr>
        <w:lastRenderedPageBreak/>
        <w:t>kita pagal Reglamento (ES) 2017/2177 4 straipsnio 2 dalį reikalaujama pateikti informacija, išskiriant valdytojo, kaip operatoriaus, ir kitų operatorių valdomus geležinkelių paslaugų įrenginius, arba nuorodos į interneto svetaines, kuriose viešai ir nemokamai skelbiama tokia informacija, kaip tai numatyta Reglamento (ES) 2017/2177 5 straipsnio 1 dalyje;</w:t>
      </w:r>
    </w:p>
    <w:p w14:paraId="0CF6505D" w14:textId="3481121B" w:rsidR="00CB7716" w:rsidRDefault="00C1158D">
      <w:pPr>
        <w:tabs>
          <w:tab w:val="left" w:pos="993"/>
          <w:tab w:val="left" w:pos="1134"/>
          <w:tab w:val="left" w:pos="1266"/>
        </w:tabs>
        <w:ind w:firstLine="720"/>
        <w:jc w:val="both"/>
        <w:rPr>
          <w:color w:val="000000"/>
          <w:szCs w:val="24"/>
        </w:rPr>
      </w:pPr>
      <w:r>
        <w:rPr>
          <w:color w:val="000000"/>
          <w:szCs w:val="24"/>
        </w:rPr>
        <w:t>11.14.2.</w:t>
      </w:r>
      <w:r>
        <w:rPr>
          <w:color w:val="000000"/>
          <w:szCs w:val="24"/>
        </w:rPr>
        <w:tab/>
      </w:r>
      <w:r>
        <w:rPr>
          <w:color w:val="000000"/>
          <w:szCs w:val="22"/>
        </w:rPr>
        <w:t>valdytojo geležinkelio kelių, sujungtų su geležinkelių paslaugų įrenginiais, charakteristikos, su jų naudojimu susiję apribojimai, prieigos suteikimo sąlygos ir tvarka, apmokestinimo principai ir taikomi užmokesčiai už prieigą prie šių kelių.</w:t>
      </w:r>
    </w:p>
    <w:p w14:paraId="4E907074" w14:textId="77777777" w:rsidR="00CB7716" w:rsidRDefault="00CB7716">
      <w:pPr>
        <w:keepLines/>
        <w:suppressAutoHyphens/>
        <w:jc w:val="center"/>
        <w:textAlignment w:val="center"/>
        <w:rPr>
          <w:b/>
          <w:bCs/>
          <w:caps/>
          <w:color w:val="000000"/>
          <w:szCs w:val="24"/>
        </w:rPr>
      </w:pPr>
    </w:p>
    <w:p w14:paraId="46317075" w14:textId="32AF9035" w:rsidR="00CB7716" w:rsidRDefault="00C1158D">
      <w:pPr>
        <w:keepLines/>
        <w:suppressAutoHyphens/>
        <w:jc w:val="center"/>
        <w:textAlignment w:val="center"/>
        <w:rPr>
          <w:b/>
          <w:bCs/>
          <w:caps/>
          <w:color w:val="000000"/>
          <w:szCs w:val="24"/>
        </w:rPr>
      </w:pPr>
      <w:r>
        <w:rPr>
          <w:b/>
          <w:bCs/>
          <w:caps/>
          <w:color w:val="000000"/>
          <w:szCs w:val="24"/>
        </w:rPr>
        <w:t>IV Skyius</w:t>
      </w:r>
    </w:p>
    <w:p w14:paraId="71B41603" w14:textId="5F89FAEE" w:rsidR="00CB7716" w:rsidRDefault="00C1158D">
      <w:pPr>
        <w:keepLines/>
        <w:suppressAutoHyphens/>
        <w:jc w:val="center"/>
        <w:textAlignment w:val="center"/>
        <w:rPr>
          <w:b/>
          <w:bCs/>
          <w:caps/>
          <w:color w:val="000000"/>
          <w:szCs w:val="24"/>
        </w:rPr>
      </w:pPr>
      <w:r>
        <w:rPr>
          <w:b/>
          <w:bCs/>
          <w:caps/>
          <w:color w:val="000000"/>
          <w:szCs w:val="24"/>
        </w:rPr>
        <w:t>Baigiamosios NUOSTATOS</w:t>
      </w:r>
    </w:p>
    <w:p w14:paraId="4B6C656F" w14:textId="187C3F86" w:rsidR="00CB7716" w:rsidRDefault="00CB7716">
      <w:pPr>
        <w:keepLines/>
        <w:suppressAutoHyphens/>
        <w:ind w:firstLine="720"/>
        <w:jc w:val="center"/>
        <w:textAlignment w:val="center"/>
        <w:rPr>
          <w:b/>
          <w:bCs/>
          <w:caps/>
          <w:color w:val="000000"/>
          <w:szCs w:val="24"/>
        </w:rPr>
      </w:pPr>
    </w:p>
    <w:p w14:paraId="3B4B407C" w14:textId="690CCEB9" w:rsidR="00CB7716" w:rsidRDefault="00C1158D">
      <w:pPr>
        <w:keepLines/>
        <w:suppressAutoHyphens/>
        <w:ind w:firstLine="720"/>
        <w:jc w:val="both"/>
        <w:textAlignment w:val="center"/>
        <w:rPr>
          <w:caps/>
          <w:color w:val="000000"/>
          <w:szCs w:val="24"/>
        </w:rPr>
      </w:pPr>
      <w:r>
        <w:rPr>
          <w:caps/>
          <w:color w:val="000000"/>
          <w:szCs w:val="24"/>
        </w:rPr>
        <w:t>12.</w:t>
      </w:r>
      <w:r>
        <w:rPr>
          <w:caps/>
          <w:color w:val="000000"/>
          <w:szCs w:val="24"/>
        </w:rPr>
        <w:tab/>
      </w:r>
      <w:r>
        <w:rPr>
          <w:color w:val="000000"/>
          <w:szCs w:val="24"/>
        </w:rPr>
        <w:t xml:space="preserve">Valdytojas, savo interneto svetainėje paskelbęs Tinklo nuostatų projektą, patvirtintus ar pakeistus Tinklo nuostatus, ne vėliau kaip per 3 darbo dienas apie tai informuoja Tarnybą (elektroniniu paštu </w:t>
      </w:r>
      <w:proofErr w:type="spellStart"/>
      <w:r>
        <w:rPr>
          <w:color w:val="000000"/>
          <w:szCs w:val="24"/>
        </w:rPr>
        <w:t>gelezinkeliai@rrt.lt</w:t>
      </w:r>
      <w:proofErr w:type="spellEnd"/>
      <w:r>
        <w:rPr>
          <w:color w:val="000000"/>
          <w:szCs w:val="24"/>
        </w:rPr>
        <w:t xml:space="preserve">), pareiškėjus, su kuriais yra sudaryta sutartis dėl pajėgumų skyrimo, ir geležinkelio įmones (vežėjus), su kuriomis yra sudaryta naudojimosi viešąja geležinkelių infrastruktūra sutartis, bei pateikia nuorodą į interneto svetainę, kur šie dokumentai yra nemokamai paskelbti.  </w:t>
      </w:r>
    </w:p>
    <w:p w14:paraId="39AFA1C7" w14:textId="11582258" w:rsidR="00CB7716" w:rsidRDefault="00C1158D">
      <w:pPr>
        <w:ind w:left="720"/>
        <w:jc w:val="center"/>
        <w:rPr>
          <w:color w:val="000000"/>
          <w:sz w:val="22"/>
          <w:szCs w:val="22"/>
        </w:rPr>
      </w:pPr>
      <w:r>
        <w:rPr>
          <w:color w:val="000000"/>
          <w:sz w:val="22"/>
          <w:szCs w:val="22"/>
        </w:rPr>
        <w:t>___________________________</w:t>
      </w:r>
    </w:p>
    <w:p w14:paraId="05354D39" w14:textId="3B1B7931" w:rsidR="00CB7716" w:rsidRDefault="00CB7716">
      <w:pPr>
        <w:jc w:val="both"/>
        <w:rPr>
          <w:color w:val="000000"/>
          <w:szCs w:val="24"/>
          <w:lang w:val="en-GB"/>
        </w:rPr>
      </w:pPr>
    </w:p>
    <w:sectPr w:rsidR="00CB77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B8F94" w14:textId="77777777" w:rsidR="004B718E" w:rsidRDefault="004B718E">
      <w:pPr>
        <w:ind w:firstLine="720"/>
        <w:jc w:val="both"/>
        <w:rPr>
          <w:szCs w:val="22"/>
        </w:rPr>
      </w:pPr>
      <w:r>
        <w:rPr>
          <w:szCs w:val="22"/>
        </w:rPr>
        <w:separator/>
      </w:r>
    </w:p>
  </w:endnote>
  <w:endnote w:type="continuationSeparator" w:id="0">
    <w:p w14:paraId="047C7967" w14:textId="77777777" w:rsidR="004B718E" w:rsidRDefault="004B718E">
      <w:pPr>
        <w:ind w:firstLine="720"/>
        <w:jc w:val="both"/>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57E00" w14:textId="77777777" w:rsidR="00CB7716" w:rsidRDefault="00CB7716">
    <w:pPr>
      <w:tabs>
        <w:tab w:val="center" w:pos="4819"/>
        <w:tab w:val="right" w:pos="9638"/>
      </w:tabs>
      <w:ind w:firstLine="720"/>
      <w:jc w:val="both"/>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F214" w14:textId="77777777" w:rsidR="00CB7716" w:rsidRDefault="00CB7716">
    <w:pPr>
      <w:tabs>
        <w:tab w:val="center" w:pos="4819"/>
        <w:tab w:val="right" w:pos="9638"/>
      </w:tabs>
      <w:ind w:firstLine="720"/>
      <w:jc w:val="both"/>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1BE2" w14:textId="77777777" w:rsidR="00CB7716" w:rsidRDefault="00CB7716">
    <w:pPr>
      <w:tabs>
        <w:tab w:val="center" w:pos="4819"/>
        <w:tab w:val="right" w:pos="9638"/>
      </w:tabs>
      <w:ind w:firstLine="720"/>
      <w:jc w:val="both"/>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EEBF8" w14:textId="77777777" w:rsidR="004B718E" w:rsidRDefault="004B718E">
      <w:pPr>
        <w:ind w:firstLine="720"/>
        <w:jc w:val="both"/>
        <w:rPr>
          <w:szCs w:val="22"/>
        </w:rPr>
      </w:pPr>
      <w:r>
        <w:rPr>
          <w:szCs w:val="22"/>
        </w:rPr>
        <w:separator/>
      </w:r>
    </w:p>
  </w:footnote>
  <w:footnote w:type="continuationSeparator" w:id="0">
    <w:p w14:paraId="17249CD5" w14:textId="77777777" w:rsidR="004B718E" w:rsidRDefault="004B718E">
      <w:pPr>
        <w:ind w:firstLine="720"/>
        <w:jc w:val="both"/>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685D7" w14:textId="77777777" w:rsidR="00CB7716" w:rsidRDefault="00CB7716">
    <w:pPr>
      <w:tabs>
        <w:tab w:val="center" w:pos="4320"/>
        <w:tab w:val="right" w:pos="8640"/>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AE5C" w14:textId="67B2C37A" w:rsidR="00CB7716" w:rsidRDefault="00C1158D">
    <w:pPr>
      <w:tabs>
        <w:tab w:val="center" w:pos="4320"/>
        <w:tab w:val="right" w:pos="8640"/>
      </w:tabs>
      <w:ind w:firstLine="720"/>
      <w:jc w:val="center"/>
    </w:pPr>
    <w:r>
      <w:fldChar w:fldCharType="begin"/>
    </w:r>
    <w:r>
      <w:instrText>PAGE   \* MERGEFORMAT</w:instrText>
    </w:r>
    <w:r>
      <w:fldChar w:fldCharType="separate"/>
    </w:r>
    <w:r w:rsidR="00824569">
      <w:rPr>
        <w:noProof/>
      </w:rPr>
      <w:t>6</w:t>
    </w:r>
    <w:r>
      <w:fldChar w:fldCharType="end"/>
    </w:r>
  </w:p>
  <w:p w14:paraId="66C92D95" w14:textId="77777777" w:rsidR="00CB7716" w:rsidRDefault="00CB7716">
    <w:pPr>
      <w:tabs>
        <w:tab w:val="center" w:pos="4320"/>
        <w:tab w:val="right" w:pos="8640"/>
      </w:tabs>
      <w:ind w:firstLine="7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77A7C" w14:textId="77777777" w:rsidR="00CB7716" w:rsidRDefault="00CB7716">
    <w:pPr>
      <w:tabs>
        <w:tab w:val="center" w:pos="4320"/>
        <w:tab w:val="right" w:pos="8640"/>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284"/>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wszA0MLU0NDQ3tDBX0lEKTi0uzszPAykwNqgFALwVn7ItAAAA"/>
  </w:docVars>
  <w:rsids>
    <w:rsidRoot w:val="003F41EA"/>
    <w:rsid w:val="00227CF6"/>
    <w:rsid w:val="003F41EA"/>
    <w:rsid w:val="004B718E"/>
    <w:rsid w:val="00824569"/>
    <w:rsid w:val="00C1158D"/>
    <w:rsid w:val="00CB7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9A6F"/>
  <w15:docId w15:val="{88EF3C12-EBDD-4301-A9DC-8414868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115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3892">
      <w:bodyDiv w:val="1"/>
      <w:marLeft w:val="0"/>
      <w:marRight w:val="0"/>
      <w:marTop w:val="0"/>
      <w:marBottom w:val="0"/>
      <w:divBdr>
        <w:top w:val="none" w:sz="0" w:space="0" w:color="auto"/>
        <w:left w:val="none" w:sz="0" w:space="0" w:color="auto"/>
        <w:bottom w:val="none" w:sz="0" w:space="0" w:color="auto"/>
        <w:right w:val="none" w:sz="0" w:space="0" w:color="auto"/>
      </w:divBdr>
      <w:divsChild>
        <w:div w:id="1255166777">
          <w:marLeft w:val="0"/>
          <w:marRight w:val="0"/>
          <w:marTop w:val="0"/>
          <w:marBottom w:val="0"/>
          <w:divBdr>
            <w:top w:val="none" w:sz="0" w:space="0" w:color="auto"/>
            <w:left w:val="none" w:sz="0" w:space="0" w:color="auto"/>
            <w:bottom w:val="none" w:sz="0" w:space="0" w:color="auto"/>
            <w:right w:val="none" w:sz="0" w:space="0" w:color="auto"/>
          </w:divBdr>
        </w:div>
        <w:div w:id="1146437411">
          <w:marLeft w:val="0"/>
          <w:marRight w:val="0"/>
          <w:marTop w:val="0"/>
          <w:marBottom w:val="0"/>
          <w:divBdr>
            <w:top w:val="none" w:sz="0" w:space="0" w:color="auto"/>
            <w:left w:val="none" w:sz="0" w:space="0" w:color="auto"/>
            <w:bottom w:val="none" w:sz="0" w:space="0" w:color="auto"/>
            <w:right w:val="none" w:sz="0" w:space="0" w:color="auto"/>
          </w:divBdr>
        </w:div>
        <w:div w:id="1909266056">
          <w:marLeft w:val="0"/>
          <w:marRight w:val="0"/>
          <w:marTop w:val="0"/>
          <w:marBottom w:val="0"/>
          <w:divBdr>
            <w:top w:val="none" w:sz="0" w:space="0" w:color="auto"/>
            <w:left w:val="none" w:sz="0" w:space="0" w:color="auto"/>
            <w:bottom w:val="none" w:sz="0" w:space="0" w:color="auto"/>
            <w:right w:val="none" w:sz="0" w:space="0" w:color="auto"/>
          </w:divBdr>
          <w:divsChild>
            <w:div w:id="1280646589">
              <w:marLeft w:val="0"/>
              <w:marRight w:val="0"/>
              <w:marTop w:val="0"/>
              <w:marBottom w:val="0"/>
              <w:divBdr>
                <w:top w:val="none" w:sz="0" w:space="0" w:color="auto"/>
                <w:left w:val="none" w:sz="0" w:space="0" w:color="auto"/>
                <w:bottom w:val="none" w:sz="0" w:space="0" w:color="auto"/>
                <w:right w:val="none" w:sz="0" w:space="0" w:color="auto"/>
              </w:divBdr>
            </w:div>
            <w:div w:id="1679844782">
              <w:marLeft w:val="0"/>
              <w:marRight w:val="0"/>
              <w:marTop w:val="0"/>
              <w:marBottom w:val="0"/>
              <w:divBdr>
                <w:top w:val="none" w:sz="0" w:space="0" w:color="auto"/>
                <w:left w:val="none" w:sz="0" w:space="0" w:color="auto"/>
                <w:bottom w:val="none" w:sz="0" w:space="0" w:color="auto"/>
                <w:right w:val="none" w:sz="0" w:space="0" w:color="auto"/>
              </w:divBdr>
            </w:div>
            <w:div w:id="1977031598">
              <w:marLeft w:val="0"/>
              <w:marRight w:val="0"/>
              <w:marTop w:val="0"/>
              <w:marBottom w:val="0"/>
              <w:divBdr>
                <w:top w:val="none" w:sz="0" w:space="0" w:color="auto"/>
                <w:left w:val="none" w:sz="0" w:space="0" w:color="auto"/>
                <w:bottom w:val="none" w:sz="0" w:space="0" w:color="auto"/>
                <w:right w:val="none" w:sz="0" w:space="0" w:color="auto"/>
              </w:divBdr>
            </w:div>
            <w:div w:id="1790733990">
              <w:marLeft w:val="0"/>
              <w:marRight w:val="0"/>
              <w:marTop w:val="0"/>
              <w:marBottom w:val="0"/>
              <w:divBdr>
                <w:top w:val="none" w:sz="0" w:space="0" w:color="auto"/>
                <w:left w:val="none" w:sz="0" w:space="0" w:color="auto"/>
                <w:bottom w:val="none" w:sz="0" w:space="0" w:color="auto"/>
                <w:right w:val="none" w:sz="0" w:space="0" w:color="auto"/>
              </w:divBdr>
            </w:div>
            <w:div w:id="2114394436">
              <w:marLeft w:val="0"/>
              <w:marRight w:val="0"/>
              <w:marTop w:val="0"/>
              <w:marBottom w:val="0"/>
              <w:divBdr>
                <w:top w:val="none" w:sz="0" w:space="0" w:color="auto"/>
                <w:left w:val="none" w:sz="0" w:space="0" w:color="auto"/>
                <w:bottom w:val="none" w:sz="0" w:space="0" w:color="auto"/>
                <w:right w:val="none" w:sz="0" w:space="0" w:color="auto"/>
              </w:divBdr>
            </w:div>
            <w:div w:id="1153109601">
              <w:marLeft w:val="0"/>
              <w:marRight w:val="0"/>
              <w:marTop w:val="0"/>
              <w:marBottom w:val="0"/>
              <w:divBdr>
                <w:top w:val="none" w:sz="0" w:space="0" w:color="auto"/>
                <w:left w:val="none" w:sz="0" w:space="0" w:color="auto"/>
                <w:bottom w:val="none" w:sz="0" w:space="0" w:color="auto"/>
                <w:right w:val="none" w:sz="0" w:space="0" w:color="auto"/>
              </w:divBdr>
            </w:div>
            <w:div w:id="1023628915">
              <w:marLeft w:val="0"/>
              <w:marRight w:val="0"/>
              <w:marTop w:val="0"/>
              <w:marBottom w:val="0"/>
              <w:divBdr>
                <w:top w:val="none" w:sz="0" w:space="0" w:color="auto"/>
                <w:left w:val="none" w:sz="0" w:space="0" w:color="auto"/>
                <w:bottom w:val="none" w:sz="0" w:space="0" w:color="auto"/>
                <w:right w:val="none" w:sz="0" w:space="0" w:color="auto"/>
              </w:divBdr>
            </w:div>
            <w:div w:id="147092141">
              <w:marLeft w:val="0"/>
              <w:marRight w:val="0"/>
              <w:marTop w:val="0"/>
              <w:marBottom w:val="0"/>
              <w:divBdr>
                <w:top w:val="none" w:sz="0" w:space="0" w:color="auto"/>
                <w:left w:val="none" w:sz="0" w:space="0" w:color="auto"/>
                <w:bottom w:val="none" w:sz="0" w:space="0" w:color="auto"/>
                <w:right w:val="none" w:sz="0" w:space="0" w:color="auto"/>
              </w:divBdr>
            </w:div>
          </w:divsChild>
        </w:div>
        <w:div w:id="1625312211">
          <w:marLeft w:val="0"/>
          <w:marRight w:val="0"/>
          <w:marTop w:val="0"/>
          <w:marBottom w:val="0"/>
          <w:divBdr>
            <w:top w:val="none" w:sz="0" w:space="0" w:color="auto"/>
            <w:left w:val="none" w:sz="0" w:space="0" w:color="auto"/>
            <w:bottom w:val="none" w:sz="0" w:space="0" w:color="auto"/>
            <w:right w:val="none" w:sz="0" w:space="0" w:color="auto"/>
          </w:divBdr>
        </w:div>
        <w:div w:id="73093418">
          <w:marLeft w:val="0"/>
          <w:marRight w:val="0"/>
          <w:marTop w:val="0"/>
          <w:marBottom w:val="0"/>
          <w:divBdr>
            <w:top w:val="none" w:sz="0" w:space="0" w:color="auto"/>
            <w:left w:val="none" w:sz="0" w:space="0" w:color="auto"/>
            <w:bottom w:val="none" w:sz="0" w:space="0" w:color="auto"/>
            <w:right w:val="none" w:sz="0" w:space="0" w:color="auto"/>
          </w:divBdr>
        </w:div>
        <w:div w:id="1604679048">
          <w:marLeft w:val="0"/>
          <w:marRight w:val="0"/>
          <w:marTop w:val="0"/>
          <w:marBottom w:val="0"/>
          <w:divBdr>
            <w:top w:val="none" w:sz="0" w:space="0" w:color="auto"/>
            <w:left w:val="none" w:sz="0" w:space="0" w:color="auto"/>
            <w:bottom w:val="none" w:sz="0" w:space="0" w:color="auto"/>
            <w:right w:val="none" w:sz="0" w:space="0" w:color="auto"/>
          </w:divBdr>
        </w:div>
      </w:divsChild>
    </w:div>
    <w:div w:id="153303039">
      <w:bodyDiv w:val="1"/>
      <w:marLeft w:val="0"/>
      <w:marRight w:val="0"/>
      <w:marTop w:val="0"/>
      <w:marBottom w:val="0"/>
      <w:divBdr>
        <w:top w:val="none" w:sz="0" w:space="0" w:color="auto"/>
        <w:left w:val="none" w:sz="0" w:space="0" w:color="auto"/>
        <w:bottom w:val="none" w:sz="0" w:space="0" w:color="auto"/>
        <w:right w:val="none" w:sz="0" w:space="0" w:color="auto"/>
      </w:divBdr>
    </w:div>
    <w:div w:id="348259799">
      <w:bodyDiv w:val="1"/>
      <w:marLeft w:val="0"/>
      <w:marRight w:val="0"/>
      <w:marTop w:val="0"/>
      <w:marBottom w:val="0"/>
      <w:divBdr>
        <w:top w:val="none" w:sz="0" w:space="0" w:color="auto"/>
        <w:left w:val="none" w:sz="0" w:space="0" w:color="auto"/>
        <w:bottom w:val="none" w:sz="0" w:space="0" w:color="auto"/>
        <w:right w:val="none" w:sz="0" w:space="0" w:color="auto"/>
      </w:divBdr>
      <w:divsChild>
        <w:div w:id="496190573">
          <w:marLeft w:val="0"/>
          <w:marRight w:val="0"/>
          <w:marTop w:val="0"/>
          <w:marBottom w:val="0"/>
          <w:divBdr>
            <w:top w:val="none" w:sz="0" w:space="0" w:color="auto"/>
            <w:left w:val="none" w:sz="0" w:space="0" w:color="auto"/>
            <w:bottom w:val="none" w:sz="0" w:space="0" w:color="auto"/>
            <w:right w:val="none" w:sz="0" w:space="0" w:color="auto"/>
          </w:divBdr>
        </w:div>
        <w:div w:id="705178394">
          <w:marLeft w:val="0"/>
          <w:marRight w:val="0"/>
          <w:marTop w:val="0"/>
          <w:marBottom w:val="0"/>
          <w:divBdr>
            <w:top w:val="none" w:sz="0" w:space="0" w:color="auto"/>
            <w:left w:val="none" w:sz="0" w:space="0" w:color="auto"/>
            <w:bottom w:val="none" w:sz="0" w:space="0" w:color="auto"/>
            <w:right w:val="none" w:sz="0" w:space="0" w:color="auto"/>
          </w:divBdr>
        </w:div>
      </w:divsChild>
    </w:div>
    <w:div w:id="470946449">
      <w:bodyDiv w:val="1"/>
      <w:marLeft w:val="0"/>
      <w:marRight w:val="0"/>
      <w:marTop w:val="0"/>
      <w:marBottom w:val="0"/>
      <w:divBdr>
        <w:top w:val="none" w:sz="0" w:space="0" w:color="auto"/>
        <w:left w:val="none" w:sz="0" w:space="0" w:color="auto"/>
        <w:bottom w:val="none" w:sz="0" w:space="0" w:color="auto"/>
        <w:right w:val="none" w:sz="0" w:space="0" w:color="auto"/>
      </w:divBdr>
      <w:divsChild>
        <w:div w:id="1151827917">
          <w:marLeft w:val="0"/>
          <w:marRight w:val="0"/>
          <w:marTop w:val="0"/>
          <w:marBottom w:val="0"/>
          <w:divBdr>
            <w:top w:val="none" w:sz="0" w:space="0" w:color="auto"/>
            <w:left w:val="none" w:sz="0" w:space="0" w:color="auto"/>
            <w:bottom w:val="none" w:sz="0" w:space="0" w:color="auto"/>
            <w:right w:val="none" w:sz="0" w:space="0" w:color="auto"/>
          </w:divBdr>
          <w:divsChild>
            <w:div w:id="935482406">
              <w:marLeft w:val="0"/>
              <w:marRight w:val="0"/>
              <w:marTop w:val="0"/>
              <w:marBottom w:val="0"/>
              <w:divBdr>
                <w:top w:val="none" w:sz="0" w:space="0" w:color="auto"/>
                <w:left w:val="none" w:sz="0" w:space="0" w:color="auto"/>
                <w:bottom w:val="none" w:sz="0" w:space="0" w:color="auto"/>
                <w:right w:val="none" w:sz="0" w:space="0" w:color="auto"/>
              </w:divBdr>
              <w:divsChild>
                <w:div w:id="1421293748">
                  <w:marLeft w:val="0"/>
                  <w:marRight w:val="0"/>
                  <w:marTop w:val="0"/>
                  <w:marBottom w:val="0"/>
                  <w:divBdr>
                    <w:top w:val="none" w:sz="0" w:space="0" w:color="auto"/>
                    <w:left w:val="none" w:sz="0" w:space="0" w:color="auto"/>
                    <w:bottom w:val="none" w:sz="0" w:space="0" w:color="auto"/>
                    <w:right w:val="none" w:sz="0" w:space="0" w:color="auto"/>
                  </w:divBdr>
                </w:div>
                <w:div w:id="19472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29390">
      <w:bodyDiv w:val="1"/>
      <w:marLeft w:val="0"/>
      <w:marRight w:val="0"/>
      <w:marTop w:val="0"/>
      <w:marBottom w:val="0"/>
      <w:divBdr>
        <w:top w:val="none" w:sz="0" w:space="0" w:color="auto"/>
        <w:left w:val="none" w:sz="0" w:space="0" w:color="auto"/>
        <w:bottom w:val="none" w:sz="0" w:space="0" w:color="auto"/>
        <w:right w:val="none" w:sz="0" w:space="0" w:color="auto"/>
      </w:divBdr>
    </w:div>
    <w:div w:id="966279666">
      <w:bodyDiv w:val="1"/>
      <w:marLeft w:val="0"/>
      <w:marRight w:val="0"/>
      <w:marTop w:val="0"/>
      <w:marBottom w:val="0"/>
      <w:divBdr>
        <w:top w:val="none" w:sz="0" w:space="0" w:color="auto"/>
        <w:left w:val="none" w:sz="0" w:space="0" w:color="auto"/>
        <w:bottom w:val="none" w:sz="0" w:space="0" w:color="auto"/>
        <w:right w:val="none" w:sz="0" w:space="0" w:color="auto"/>
      </w:divBdr>
    </w:div>
    <w:div w:id="1006520296">
      <w:bodyDiv w:val="1"/>
      <w:marLeft w:val="0"/>
      <w:marRight w:val="0"/>
      <w:marTop w:val="0"/>
      <w:marBottom w:val="0"/>
      <w:divBdr>
        <w:top w:val="none" w:sz="0" w:space="0" w:color="auto"/>
        <w:left w:val="none" w:sz="0" w:space="0" w:color="auto"/>
        <w:bottom w:val="none" w:sz="0" w:space="0" w:color="auto"/>
        <w:right w:val="none" w:sz="0" w:space="0" w:color="auto"/>
      </w:divBdr>
    </w:div>
    <w:div w:id="1073505822">
      <w:bodyDiv w:val="1"/>
      <w:marLeft w:val="0"/>
      <w:marRight w:val="0"/>
      <w:marTop w:val="0"/>
      <w:marBottom w:val="0"/>
      <w:divBdr>
        <w:top w:val="none" w:sz="0" w:space="0" w:color="auto"/>
        <w:left w:val="none" w:sz="0" w:space="0" w:color="auto"/>
        <w:bottom w:val="none" w:sz="0" w:space="0" w:color="auto"/>
        <w:right w:val="none" w:sz="0" w:space="0" w:color="auto"/>
      </w:divBdr>
    </w:div>
    <w:div w:id="1136996750">
      <w:bodyDiv w:val="1"/>
      <w:marLeft w:val="0"/>
      <w:marRight w:val="0"/>
      <w:marTop w:val="0"/>
      <w:marBottom w:val="0"/>
      <w:divBdr>
        <w:top w:val="none" w:sz="0" w:space="0" w:color="auto"/>
        <w:left w:val="none" w:sz="0" w:space="0" w:color="auto"/>
        <w:bottom w:val="none" w:sz="0" w:space="0" w:color="auto"/>
        <w:right w:val="none" w:sz="0" w:space="0" w:color="auto"/>
      </w:divBdr>
    </w:div>
    <w:div w:id="1317370660">
      <w:bodyDiv w:val="1"/>
      <w:marLeft w:val="0"/>
      <w:marRight w:val="0"/>
      <w:marTop w:val="0"/>
      <w:marBottom w:val="0"/>
      <w:divBdr>
        <w:top w:val="none" w:sz="0" w:space="0" w:color="auto"/>
        <w:left w:val="none" w:sz="0" w:space="0" w:color="auto"/>
        <w:bottom w:val="none" w:sz="0" w:space="0" w:color="auto"/>
        <w:right w:val="none" w:sz="0" w:space="0" w:color="auto"/>
      </w:divBdr>
    </w:div>
    <w:div w:id="1489246073">
      <w:bodyDiv w:val="1"/>
      <w:marLeft w:val="0"/>
      <w:marRight w:val="0"/>
      <w:marTop w:val="0"/>
      <w:marBottom w:val="0"/>
      <w:divBdr>
        <w:top w:val="none" w:sz="0" w:space="0" w:color="auto"/>
        <w:left w:val="none" w:sz="0" w:space="0" w:color="auto"/>
        <w:bottom w:val="none" w:sz="0" w:space="0" w:color="auto"/>
        <w:right w:val="none" w:sz="0" w:space="0" w:color="auto"/>
      </w:divBdr>
    </w:div>
    <w:div w:id="1843929688">
      <w:bodyDiv w:val="1"/>
      <w:marLeft w:val="0"/>
      <w:marRight w:val="0"/>
      <w:marTop w:val="0"/>
      <w:marBottom w:val="0"/>
      <w:divBdr>
        <w:top w:val="none" w:sz="0" w:space="0" w:color="auto"/>
        <w:left w:val="none" w:sz="0" w:space="0" w:color="auto"/>
        <w:bottom w:val="none" w:sz="0" w:space="0" w:color="auto"/>
        <w:right w:val="none" w:sz="0" w:space="0" w:color="auto"/>
      </w:divBdr>
    </w:div>
    <w:div w:id="1844860065">
      <w:bodyDiv w:val="1"/>
      <w:marLeft w:val="0"/>
      <w:marRight w:val="0"/>
      <w:marTop w:val="0"/>
      <w:marBottom w:val="0"/>
      <w:divBdr>
        <w:top w:val="none" w:sz="0" w:space="0" w:color="auto"/>
        <w:left w:val="none" w:sz="0" w:space="0" w:color="auto"/>
        <w:bottom w:val="none" w:sz="0" w:space="0" w:color="auto"/>
        <w:right w:val="none" w:sz="0" w:space="0" w:color="auto"/>
      </w:divBdr>
      <w:divsChild>
        <w:div w:id="475495223">
          <w:marLeft w:val="0"/>
          <w:marRight w:val="0"/>
          <w:marTop w:val="0"/>
          <w:marBottom w:val="0"/>
          <w:divBdr>
            <w:top w:val="none" w:sz="0" w:space="0" w:color="auto"/>
            <w:left w:val="none" w:sz="0" w:space="0" w:color="auto"/>
            <w:bottom w:val="none" w:sz="0" w:space="0" w:color="auto"/>
            <w:right w:val="none" w:sz="0" w:space="0" w:color="auto"/>
          </w:divBdr>
        </w:div>
        <w:div w:id="305936467">
          <w:marLeft w:val="0"/>
          <w:marRight w:val="0"/>
          <w:marTop w:val="0"/>
          <w:marBottom w:val="0"/>
          <w:divBdr>
            <w:top w:val="none" w:sz="0" w:space="0" w:color="auto"/>
            <w:left w:val="none" w:sz="0" w:space="0" w:color="auto"/>
            <w:bottom w:val="none" w:sz="0" w:space="0" w:color="auto"/>
            <w:right w:val="none" w:sz="0" w:space="0" w:color="auto"/>
          </w:divBdr>
        </w:div>
        <w:div w:id="1405033563">
          <w:marLeft w:val="0"/>
          <w:marRight w:val="0"/>
          <w:marTop w:val="0"/>
          <w:marBottom w:val="0"/>
          <w:divBdr>
            <w:top w:val="none" w:sz="0" w:space="0" w:color="auto"/>
            <w:left w:val="none" w:sz="0" w:space="0" w:color="auto"/>
            <w:bottom w:val="none" w:sz="0" w:space="0" w:color="auto"/>
            <w:right w:val="none" w:sz="0" w:space="0" w:color="auto"/>
          </w:divBdr>
        </w:div>
      </w:divsChild>
    </w:div>
    <w:div w:id="20026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DB86-A8FA-4472-98F0-75745D76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14003</Words>
  <Characters>7982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Liuokaitytė</dc:creator>
  <cp:lastModifiedBy>Ruslanas Gerasimovas</cp:lastModifiedBy>
  <cp:revision>2</cp:revision>
  <cp:lastPrinted>2019-10-11T05:49:00Z</cp:lastPrinted>
  <dcterms:created xsi:type="dcterms:W3CDTF">2020-05-25T13:39:00Z</dcterms:created>
  <dcterms:modified xsi:type="dcterms:W3CDTF">2020-05-25T13:39:00Z</dcterms:modified>
</cp:coreProperties>
</file>