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2017-05-01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2008, Nr. </w:t>
      </w:r>
      <w:fldSimple w:instr="HYPERLINK https://www.e-tar.lt/portal/legalAct.html?documentId=TAR.B85AC15C31B4">
        <w:r w:rsidRPr="00532B9F">
          <w:rPr>
            <w:rFonts w:ascii="Times New Roman" w:eastAsia="MS Mincho" w:hAnsi="Times New Roman"/>
            <w:sz w:val="20"/>
            <w:i/>
            <w:iCs/>
            <w:color w:val="0000FF" w:themeColor="hyperlink"/>
            <w:u w:val="single"/>
          </w:rPr>
          <w:t>18-665</w:t>
        </w:r>
      </w:fldSimple>
      <w:r>
        <w:rPr>
          <w:rFonts w:ascii="Times New Roman" w:eastAsia="MS Mincho" w:hAnsi="Times New Roman"/>
          <w:sz w:val="20"/>
          <w:i/>
          <w:iCs/>
        </w:rPr>
        <w:t>, i. k. 10811RRISAK001V-126</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2017-05-01:</w:t>
      </w:r>
    </w:p>
    <w:p>
      <w:pPr>
        <w:rPr>
          <w:rFonts w:ascii="Times New Roman" w:hAnsi="Times New Roman"/>
          <w:sz w:val="20"/>
          <w:i/>
        </w:rPr>
      </w:pPr>
      <w:r>
        <w:rPr>
          <w:rFonts w:ascii="Times New Roman" w:hAnsi="Times New Roman"/>
          <w:sz w:val="20"/>
          <w:i/>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Pr>
        <w:rPr>
          <w:rFonts w:ascii="Times New Roman" w:hAnsi="Times New Roman"/>
          <w:sz w:val="22"/>
        </w:rPr>
      </w:pPr>
    </w:p>
    <w:p>
      <w:pPr>
        <w:jc w:val="center"/>
        <w:rPr>
          <w:b/>
          <w:szCs w:val="24"/>
        </w:rPr>
      </w:pPr>
      <w:r>
        <w:rPr>
          <w:b/>
          <w:szCs w:val="24"/>
        </w:rPr>
        <w:t>LIETUVOS RESPUBLIKOS</w:t>
      </w:r>
    </w:p>
    <w:p>
      <w:pPr>
        <w:jc w:val="center"/>
        <w:rPr>
          <w:b/>
          <w:szCs w:val="24"/>
        </w:rPr>
      </w:pPr>
      <w:r>
        <w:rPr>
          <w:b/>
          <w:szCs w:val="24"/>
        </w:rPr>
        <w:t>RYŠIŲ REGULIAVIMO TARNYBOS</w:t>
      </w:r>
    </w:p>
    <w:p>
      <w:pPr>
        <w:jc w:val="center"/>
        <w:rPr>
          <w:b/>
          <w:szCs w:val="24"/>
        </w:rPr>
      </w:pPr>
      <w:r>
        <w:rPr>
          <w:b/>
          <w:szCs w:val="24"/>
        </w:rPr>
        <w:t>DIREKTORIUS</w:t>
      </w:r>
    </w:p>
    <w:p>
      <w:pPr>
        <w:rPr>
          <w:sz w:val="20"/>
        </w:rPr>
      </w:pPr>
    </w:p>
    <w:p>
      <w:pPr>
        <w:jc w:val="center"/>
        <w:rPr>
          <w:b/>
          <w:szCs w:val="24"/>
        </w:rPr>
      </w:pPr>
      <w:r>
        <w:rPr>
          <w:b/>
          <w:szCs w:val="24"/>
        </w:rPr>
        <w:t>ĮSAKYMAS</w:t>
      </w:r>
    </w:p>
    <w:p>
      <w:pPr>
        <w:jc w:val="center"/>
        <w:rPr>
          <w:b/>
          <w:szCs w:val="24"/>
        </w:rPr>
      </w:pPr>
      <w:r>
        <w:rPr>
          <w:b/>
          <w:szCs w:val="24"/>
        </w:rPr>
        <w:t xml:space="preserve">DĖL </w:t>
      </w:r>
      <w:r>
        <w:rPr>
          <w:b/>
          <w:color w:val="000000"/>
          <w:szCs w:val="24"/>
        </w:rPr>
        <w:t>DAŽNINĖS MODULIACIJOS RADIJO TRANSLIAVIMO STOČIŲ RADIJO DAŽNIO NUOKRYPIO IR MODULIAVIMO GALIOS MATAVIMO RADIJO STEBĖSENOS STOTYSE</w:t>
      </w:r>
      <w:r>
        <w:rPr>
          <w:b/>
          <w:szCs w:val="24"/>
        </w:rPr>
        <w:t xml:space="preserve"> TAISYKLIŲ PATVIRTINIMO</w:t>
      </w:r>
    </w:p>
    <w:p>
      <w:pPr>
        <w:suppressAutoHyphens/>
        <w:ind w:firstLine="709"/>
        <w:jc w:val="both"/>
        <w:textAlignment w:val="center"/>
        <w:rPr>
          <w:color w:val="000000"/>
          <w:szCs w:val="24"/>
        </w:rPr>
      </w:pPr>
    </w:p>
    <w:p>
      <w:pPr>
        <w:suppressAutoHyphens/>
        <w:jc w:val="center"/>
        <w:textAlignment w:val="center"/>
        <w:rPr>
          <w:color w:val="000000"/>
          <w:szCs w:val="24"/>
        </w:rPr>
      </w:pPr>
      <w:r>
        <w:rPr>
          <w:szCs w:val="24"/>
          <w:lang w:eastAsia="lt-LT"/>
        </w:rPr>
        <w:t>2008 m. vasario 5 d. Nr. 1V-126</w:t>
      </w:r>
    </w:p>
    <w:p>
      <w:pPr>
        <w:suppressAutoHyphens/>
        <w:jc w:val="center"/>
        <w:textAlignment w:val="center"/>
        <w:rPr>
          <w:color w:val="000000"/>
          <w:szCs w:val="24"/>
        </w:rPr>
      </w:pPr>
      <w:r>
        <w:rPr>
          <w:szCs w:val="24"/>
          <w:lang w:eastAsia="lt-LT"/>
        </w:rPr>
        <w:t>Vilnius</w:t>
      </w:r>
    </w:p>
    <w:p>
      <w:pPr>
        <w:suppressAutoHyphens/>
        <w:ind w:firstLine="709"/>
        <w:jc w:val="both"/>
        <w:textAlignment w:val="center"/>
        <w:rPr>
          <w:color w:val="000000"/>
          <w:szCs w:val="24"/>
        </w:rPr>
      </w:pPr>
    </w:p>
    <w:p>
      <w:pPr>
        <w:suppressAutoHyphens/>
        <w:ind w:firstLine="709"/>
        <w:jc w:val="both"/>
        <w:textAlignment w:val="center"/>
        <w:rPr>
          <w:color w:val="000000"/>
          <w:szCs w:val="24"/>
        </w:rPr>
      </w:pPr>
    </w:p>
    <w:p>
      <w:pPr>
        <w:suppressAutoHyphens/>
        <w:ind w:firstLine="709"/>
        <w:jc w:val="both"/>
        <w:textAlignment w:val="center"/>
        <w:rPr>
          <w:color w:val="000000"/>
          <w:szCs w:val="24"/>
        </w:rPr>
      </w:pPr>
      <w:r>
        <w:rPr>
          <w:color w:val="000000"/>
          <w:szCs w:val="24"/>
        </w:rPr>
        <w:t xml:space="preserve">Vadovaudamasis Lietuvos Respublikos elektroninių ryšių įstatymo 46 straipsnio 1 dalimi ir atsižvelgdamas į Tarptautinės telekomunikacijų sąjungos rekomendacijas ITU-R SM. 1268-3 „Dažninės moduliacijos radijo transliavimo stočių didžiausio radijo dažnio nuokrypio matavimo radijo stebėsenos stotyse metodas“ (angl. </w:t>
      </w:r>
      <w:r>
        <w:rPr>
          <w:i/>
          <w:color w:val="000000"/>
          <w:szCs w:val="24"/>
        </w:rPr>
        <w:t>„</w:t>
      </w:r>
      <w:r>
        <w:rPr>
          <w:i/>
          <w:iCs/>
          <w:color w:val="000000"/>
          <w:szCs w:val="24"/>
        </w:rPr>
        <w:t>Method of measuring the maximum frequency deviation of FM broadcast emissions at monitoring stations“</w:t>
      </w:r>
      <w:r>
        <w:rPr>
          <w:color w:val="000000"/>
          <w:szCs w:val="24"/>
        </w:rPr>
        <w:t>), ITU</w:t>
        <w:noBreakHyphen/>
        <w:t>R BS.412</w:t>
        <w:noBreakHyphen/>
        <w:t xml:space="preserve">9 „ UTB antžeminių dažninės moduliacijos garso transliavimo stočių planavimo standartai“ (angl. </w:t>
      </w:r>
      <w:r>
        <w:rPr>
          <w:i/>
          <w:color w:val="000000"/>
          <w:szCs w:val="24"/>
        </w:rPr>
        <w:t>„</w:t>
      </w:r>
      <w:r>
        <w:rPr>
          <w:i/>
          <w:iCs/>
          <w:color w:val="000000"/>
          <w:szCs w:val="24"/>
          <w:lang w:val="en-US"/>
        </w:rPr>
        <w:t>Planning standards for terrestrial FM sound broadcasting at VHF</w:t>
      </w:r>
      <w:r>
        <w:rPr>
          <w:i/>
          <w:iCs/>
          <w:color w:val="000000"/>
          <w:szCs w:val="24"/>
        </w:rPr>
        <w:t>“</w:t>
      </w:r>
      <w:r>
        <w:rPr>
          <w:color w:val="000000"/>
          <w:szCs w:val="24"/>
        </w:rPr>
        <w:t>), ITU</w:t>
        <w:noBreakHyphen/>
        <w:t>R BS.642</w:t>
        <w:noBreakHyphen/>
        <w:t xml:space="preserve">1 „Aukštos kokybės garso programų signalų ribotuvai“ (angl. </w:t>
      </w:r>
      <w:r>
        <w:rPr>
          <w:i/>
          <w:color w:val="000000"/>
          <w:szCs w:val="24"/>
        </w:rPr>
        <w:t>„</w:t>
      </w:r>
      <w:r>
        <w:rPr>
          <w:i/>
          <w:iCs/>
          <w:color w:val="000000"/>
          <w:szCs w:val="24"/>
          <w:lang w:val="en-US"/>
        </w:rPr>
        <w:t>Limiters for high</w:t>
        <w:noBreakHyphen/>
        <w:t>quality sound</w:t>
        <w:noBreakHyphen/>
        <w:t>programme signals</w:t>
      </w:r>
      <w:r>
        <w:rPr>
          <w:i/>
          <w:iCs/>
          <w:color w:val="000000"/>
          <w:szCs w:val="24"/>
        </w:rPr>
        <w:t>“</w:t>
      </w:r>
      <w:r>
        <w:rPr>
          <w:color w:val="000000"/>
          <w:szCs w:val="24"/>
        </w:rPr>
        <w:t>), ITU</w:t>
        <w:noBreakHyphen/>
        <w:t>R BS.450</w:t>
        <w:noBreakHyphen/>
        <w:t>3 „Dažninės moduliacijos garso transliavimo standartai UTB juostoje“ (angl. „</w:t>
      </w:r>
      <w:r>
        <w:rPr>
          <w:i/>
          <w:iCs/>
          <w:color w:val="000000"/>
          <w:szCs w:val="24"/>
        </w:rPr>
        <w:t>Transmission standards for FM sound broadcasting at VHF“</w:t>
      </w:r>
      <w:r>
        <w:rPr>
          <w:color w:val="000000"/>
          <w:szCs w:val="24"/>
        </w:rPr>
        <w:t>),</w:t>
      </w:r>
    </w:p>
    <w:p>
      <w:pPr>
        <w:suppressAutoHyphens/>
        <w:ind w:firstLine="709"/>
        <w:jc w:val="both"/>
        <w:textAlignment w:val="center"/>
      </w:pPr>
      <w:r>
        <w:rPr>
          <w:color w:val="000000"/>
          <w:spacing w:val="40"/>
          <w:szCs w:val="24"/>
        </w:rPr>
        <w:t>1</w:t>
      </w:r>
      <w:r>
        <w:rPr>
          <w:color w:val="000000"/>
          <w:spacing w:val="40"/>
          <w:szCs w:val="24"/>
        </w:rPr>
        <w:t xml:space="preserve">.Tvirtinu </w:t>
      </w:r>
      <w:r>
        <w:rPr>
          <w:color w:val="000000"/>
          <w:szCs w:val="24"/>
        </w:rPr>
        <w:t>Dažninės moduliacijos radijo transliavimo stočių radijo dažnio nuokrypio ir moduliavimo galios matavimo radijo stebėsenos stotyse taisykles (pridedama).</w:t>
      </w:r>
    </w:p>
    <w:p>
      <w:pPr>
        <w:widowControl w:val="0"/>
        <w:tabs>
          <w:tab w:val="right" w:pos="9071"/>
        </w:tabs>
        <w:rPr>
          <w:szCs w:val="24"/>
          <w:lang w:eastAsia="lt-LT"/>
        </w:rPr>
      </w:pPr>
    </w:p>
    <w:p>
      <w:pPr>
        <w:widowControl w:val="0"/>
        <w:tabs>
          <w:tab w:val="right" w:pos="9071"/>
        </w:tabs>
        <w:rPr>
          <w:szCs w:val="24"/>
          <w:lang w:eastAsia="lt-LT"/>
        </w:rPr>
      </w:pPr>
    </w:p>
    <w:p>
      <w:pPr>
        <w:widowControl w:val="0"/>
        <w:tabs>
          <w:tab w:val="right" w:pos="9071"/>
        </w:tabs>
        <w:rPr>
          <w:szCs w:val="24"/>
          <w:lang w:eastAsia="lt-LT"/>
        </w:rPr>
      </w:pPr>
    </w:p>
    <w:p>
      <w:pPr>
        <w:widowControl w:val="0"/>
        <w:tabs>
          <w:tab w:val="right" w:pos="9071"/>
        </w:tabs>
        <w:rPr>
          <w:szCs w:val="24"/>
          <w:lang w:eastAsia="lt-LT"/>
        </w:rPr>
      </w:pPr>
      <w:r>
        <w:rPr>
          <w:szCs w:val="24"/>
          <w:lang w:eastAsia="lt-LT"/>
        </w:rPr>
        <w:t>DIREKTORIUS</w:t>
        <w:tab/>
        <w:t>TOMAS BARAKAUSKAS</w:t>
      </w:r>
    </w:p>
    <w:p/>
    <w:p>
      <w:pPr>
        <w:tabs>
          <w:tab w:val="left" w:pos="1304"/>
          <w:tab w:val="left" w:pos="1457"/>
          <w:tab w:val="left" w:pos="1604"/>
          <w:tab w:val="left" w:pos="1757"/>
        </w:tabs>
        <w:ind w:left="5670"/>
      </w:pPr>
      <w:r>
        <w:br w:type="page"/>
      </w:r>
    </w:p>
    <w:p>
      <w:pPr>
        <w:tabs>
          <w:tab w:val="left" w:pos="1304"/>
          <w:tab w:val="left" w:pos="1457"/>
          <w:tab w:val="left" w:pos="1604"/>
          <w:tab w:val="left" w:pos="1757"/>
        </w:tabs>
        <w:ind w:left="5670"/>
        <w:rPr>
          <w:szCs w:val="24"/>
        </w:rPr>
      </w:pPr>
      <w:r>
        <w:rPr>
          <w:szCs w:val="24"/>
        </w:rPr>
        <w:t>PATVIRTINTA</w:t>
      </w:r>
    </w:p>
    <w:p>
      <w:pPr>
        <w:tabs>
          <w:tab w:val="left" w:pos="1304"/>
          <w:tab w:val="left" w:pos="1457"/>
          <w:tab w:val="left" w:pos="1604"/>
          <w:tab w:val="left" w:pos="1757"/>
        </w:tabs>
        <w:ind w:left="5670"/>
        <w:rPr>
          <w:szCs w:val="24"/>
        </w:rPr>
      </w:pPr>
      <w:r>
        <w:rPr>
          <w:szCs w:val="24"/>
        </w:rPr>
        <w:t>Lietuvos Respublikos ryšių reguliavimo tarnybos direktoriaus 2008 m. vasario 5 d. įsakymu Nr. 1V-126</w:t>
      </w:r>
    </w:p>
    <w:p>
      <w:pPr>
        <w:tabs>
          <w:tab w:val="left" w:pos="1304"/>
          <w:tab w:val="left" w:pos="1457"/>
          <w:tab w:val="left" w:pos="1604"/>
          <w:tab w:val="left" w:pos="1757"/>
        </w:tabs>
        <w:ind w:left="5670"/>
        <w:rPr>
          <w:szCs w:val="24"/>
        </w:rPr>
      </w:pPr>
      <w:r>
        <w:rPr>
          <w:szCs w:val="24"/>
        </w:rPr>
        <w:t>(Lietuvos Respublikos ryšių reguliavimo tarnybos direktoriaus 2017 m. sausio 27 d. įsakymo Nr. 1V-102 redakcija)</w:t>
      </w:r>
    </w:p>
    <w:p>
      <w:pPr>
        <w:rPr>
          <w:sz w:val="42"/>
          <w:szCs w:val="42"/>
        </w:rPr>
      </w:pPr>
    </w:p>
    <w:p>
      <w:pPr>
        <w:jc w:val="center"/>
        <w:rPr>
          <w:b/>
          <w:bCs/>
          <w:caps/>
          <w:szCs w:val="24"/>
        </w:rPr>
      </w:pPr>
      <w:r>
        <w:rPr>
          <w:b/>
          <w:bCs/>
          <w:caps/>
          <w:szCs w:val="24"/>
        </w:rPr>
        <w:t>DAŽNINĖS MODULIACIJOS RADIJO TRANSLIAVIMO STOČIŲ RADIJO DAŽNIO NUOKRYPIO ir moduliavimo galios MATAVIMO RADIJO STEBĖSENOS STOTYSE TAISYKLĖS</w:t>
      </w:r>
    </w:p>
    <w:p>
      <w:pPr>
        <w:rPr>
          <w:sz w:val="20"/>
        </w:rPr>
      </w:pPr>
    </w:p>
    <w:p>
      <w:pPr>
        <w:jc w:val="center"/>
        <w:rPr>
          <w:b/>
          <w:bCs/>
          <w:caps/>
          <w:szCs w:val="24"/>
        </w:rPr>
      </w:pPr>
      <w:r>
        <w:rPr>
          <w:b/>
          <w:bCs/>
          <w:caps/>
          <w:szCs w:val="24"/>
        </w:rPr>
        <w:t>I</w:t>
      </w:r>
      <w:r>
        <w:rPr>
          <w:b/>
          <w:bCs/>
          <w:caps/>
          <w:szCs w:val="24"/>
        </w:rPr>
        <w:t xml:space="preserve"> SKYRIUS</w:t>
      </w:r>
    </w:p>
    <w:p>
      <w:pPr>
        <w:jc w:val="center"/>
        <w:rPr>
          <w:b/>
          <w:bCs/>
          <w:caps/>
          <w:szCs w:val="24"/>
        </w:rPr>
      </w:pPr>
      <w:r>
        <w:rPr>
          <w:b/>
          <w:bCs/>
          <w:caps/>
          <w:szCs w:val="24"/>
        </w:rPr>
        <w:t>BENDROSIOS NUOSTATOS</w:t>
      </w:r>
    </w:p>
    <w:p>
      <w:pPr>
        <w:rPr>
          <w:sz w:val="10"/>
          <w:szCs w:val="10"/>
        </w:rPr>
      </w:pPr>
    </w:p>
    <w:p>
      <w:pPr>
        <w:suppressAutoHyphens/>
        <w:ind w:firstLine="425"/>
        <w:jc w:val="both"/>
        <w:textAlignment w:val="center"/>
        <w:rPr>
          <w:color w:val="000000"/>
          <w:szCs w:val="24"/>
        </w:rPr>
      </w:pPr>
      <w:r>
        <w:rPr>
          <w:color w:val="000000"/>
          <w:szCs w:val="24"/>
        </w:rPr>
        <w:t>1</w:t>
      </w:r>
      <w:r>
        <w:rPr>
          <w:color w:val="000000"/>
          <w:szCs w:val="24"/>
        </w:rPr>
        <w:t>. Dažninės moduliacijos radijo transliavimo stočių radijo dažnio nuokrypio ir moduliavimo galios matavimo radijo stebėsenos stotyse taisyklės (toliau – Taisyklės) nustato matavimų metodus, kuriuos Lietuvos Respublikos ryšių reguliavimo tarnyba (toliau – Tarnyba) naudoja matuodama dažninės moduliacijos radijo transliavimo stočių (toliau – stotis) radijo dažnio nuokrypį ir moduliavimo galią, siekdama nustatyti jų atitiktį radijo dažnių naudojimo sąlygose, leidimuose naudoti radijo dažnį (kanalą) ir (arba) teisės aktuose nurodytam radijo dažnio nuokrypiui ir (arba) moduliavimo galiai.</w:t>
      </w:r>
    </w:p>
    <w:p>
      <w:pPr>
        <w:suppressAutoHyphens/>
        <w:ind w:firstLine="425"/>
        <w:jc w:val="both"/>
        <w:textAlignment w:val="center"/>
        <w:rPr>
          <w:color w:val="000000"/>
          <w:szCs w:val="24"/>
        </w:rPr>
      </w:pPr>
      <w:r>
        <w:rPr>
          <w:color w:val="000000"/>
          <w:szCs w:val="24"/>
        </w:rPr>
        <w:t>2</w:t>
      </w:r>
      <w:r>
        <w:rPr>
          <w:color w:val="000000"/>
          <w:szCs w:val="24"/>
        </w:rPr>
        <w:t>. Taisyklėse vartojamos sąvokos:</w:t>
      </w:r>
    </w:p>
    <w:p>
      <w:pPr>
        <w:suppressAutoHyphens/>
        <w:ind w:firstLine="425"/>
        <w:jc w:val="both"/>
        <w:textAlignment w:val="center"/>
        <w:rPr>
          <w:color w:val="000000"/>
          <w:szCs w:val="24"/>
        </w:rPr>
      </w:pPr>
      <w:r>
        <w:rPr>
          <w:color w:val="000000"/>
          <w:szCs w:val="24"/>
        </w:rPr>
        <w:t>2.1</w:t>
      </w:r>
      <w:r>
        <w:rPr>
          <w:color w:val="000000"/>
          <w:szCs w:val="24"/>
        </w:rPr>
        <w:t xml:space="preserve">. </w:t>
      </w:r>
      <w:r>
        <w:rPr>
          <w:b/>
          <w:bCs/>
          <w:color w:val="000000"/>
          <w:szCs w:val="24"/>
        </w:rPr>
        <w:t>Akimirkinis radijo dažnis</w:t>
      </w:r>
      <w:r>
        <w:rPr>
          <w:color w:val="000000"/>
          <w:szCs w:val="24"/>
        </w:rPr>
        <w:t> – moduliuoto nešlio dažnis bet kuriuo laiko momentu.</w:t>
      </w:r>
    </w:p>
    <w:p>
      <w:pPr>
        <w:suppressAutoHyphens/>
        <w:ind w:firstLine="425"/>
        <w:jc w:val="both"/>
        <w:textAlignment w:val="center"/>
        <w:rPr>
          <w:color w:val="000000"/>
          <w:szCs w:val="24"/>
        </w:rPr>
      </w:pPr>
      <w:r>
        <w:rPr>
          <w:color w:val="000000"/>
          <w:szCs w:val="24"/>
        </w:rPr>
        <w:t>2.2</w:t>
      </w:r>
      <w:r>
        <w:rPr>
          <w:color w:val="000000"/>
          <w:szCs w:val="24"/>
        </w:rPr>
        <w:t xml:space="preserve">. </w:t>
      </w:r>
      <w:r>
        <w:rPr>
          <w:b/>
          <w:bCs/>
          <w:color w:val="000000"/>
          <w:szCs w:val="24"/>
        </w:rPr>
        <w:t xml:space="preserve">Akimirkinis radijo dažnio nuokrypis </w:t>
      </w:r>
      <w:r>
        <w:rPr>
          <w:color w:val="000000"/>
          <w:szCs w:val="24"/>
        </w:rPr>
        <w:t>– skirtumas tarp akimirkinio radijo dažnio</w:t>
      </w:r>
      <w:r>
        <w:rPr>
          <w:i/>
          <w:iCs/>
          <w:color w:val="000000"/>
          <w:szCs w:val="24"/>
        </w:rPr>
        <w:t xml:space="preserve"> </w:t>
      </w:r>
      <w:r>
        <w:rPr>
          <w:color w:val="000000"/>
          <w:szCs w:val="24"/>
        </w:rPr>
        <w:t>ir nemoduliuoto nešlio dažnio.</w:t>
      </w:r>
    </w:p>
    <w:p>
      <w:pPr>
        <w:suppressAutoHyphens/>
        <w:ind w:firstLine="425"/>
        <w:jc w:val="both"/>
        <w:textAlignment w:val="center"/>
        <w:rPr>
          <w:color w:val="000000"/>
          <w:szCs w:val="24"/>
        </w:rPr>
      </w:pPr>
      <w:r>
        <w:rPr>
          <w:color w:val="000000"/>
          <w:szCs w:val="24"/>
        </w:rPr>
        <w:t>2.3</w:t>
      </w:r>
      <w:r>
        <w:rPr>
          <w:color w:val="000000"/>
          <w:szCs w:val="24"/>
        </w:rPr>
        <w:t xml:space="preserve">. </w:t>
      </w:r>
      <w:r>
        <w:rPr>
          <w:b/>
          <w:bCs/>
          <w:color w:val="000000"/>
          <w:szCs w:val="24"/>
        </w:rPr>
        <w:t xml:space="preserve">Moduliavimo galia (MPX galia) </w:t>
      </w:r>
      <w:r>
        <w:rPr>
          <w:color w:val="000000"/>
          <w:szCs w:val="24"/>
        </w:rPr>
        <w:t>– moduliuojančio signalo galios vidurkio per 60 s ir harmoninio signalo, sukeliančio ±19 kHz dažnio nuokrypį, galios santykis, apskaičiuojamas pagal formulę:</w:t>
      </w:r>
    </w:p>
    <w:p>
      <w:pPr>
        <w:ind w:firstLine="709"/>
        <w:jc w:val="center"/>
        <w:rPr>
          <w:szCs w:val="24"/>
        </w:rPr>
      </w:pPr>
      <w:r>
        <w:rPr>
          <w:position w:val="-54"/>
          <w:szCs w:val="24"/>
        </w:rPr>
        <w:object w:dxaOrig="3159" w:dyaOrig="1200">
          <v:shape id="_x0000_i1027" type="#_x0000_t75" style="width:159.2pt;height:60.8pt" o:ole="">
            <v:imagedata r:id="rId21" o:title=""/>
          </v:shape>
          <o:OLEObject Type="Embed" ProgID="Equation.3" ShapeID="_x0000_i1027" DrawAspect="Content" ObjectID="_0000000001" r:id="rId22"/>
        </w:object>
      </w:r>
      <w:r>
        <w:rPr>
          <w:szCs w:val="24"/>
        </w:rPr>
        <w:t>,</w:t>
      </w:r>
    </w:p>
    <w:p>
      <w:pPr>
        <w:ind w:left="709" w:firstLine="709"/>
        <w:rPr>
          <w:szCs w:val="24"/>
        </w:rPr>
      </w:pPr>
      <w:r>
        <w:rPr>
          <w:szCs w:val="24"/>
        </w:rPr>
        <w:t>kur:</w:t>
      </w:r>
    </w:p>
    <w:p>
      <w:pPr>
        <w:ind w:left="709" w:firstLine="771"/>
        <w:rPr>
          <w:szCs w:val="24"/>
        </w:rPr>
      </w:pPr>
      <w:r>
        <w:rPr>
          <w:i/>
          <w:iCs/>
          <w:szCs w:val="24"/>
        </w:rPr>
        <w:t>∆f(t)</w:t>
      </w:r>
      <w:r>
        <w:rPr>
          <w:szCs w:val="24"/>
        </w:rPr>
        <w:t xml:space="preserve"> – akimirkinis radijo dažnio nuokrypis, kHz;</w:t>
      </w:r>
    </w:p>
    <w:p>
      <w:pPr>
        <w:ind w:left="698" w:firstLine="720"/>
        <w:rPr>
          <w:szCs w:val="24"/>
        </w:rPr>
      </w:pPr>
      <w:r>
        <w:rPr>
          <w:i/>
          <w:iCs/>
          <w:szCs w:val="24"/>
        </w:rPr>
        <w:t>t</w:t>
      </w:r>
      <w:r>
        <w:rPr>
          <w:szCs w:val="24"/>
        </w:rPr>
        <w:t xml:space="preserve"> – laikas, s.</w:t>
      </w:r>
    </w:p>
    <w:p>
      <w:pPr>
        <w:rPr>
          <w:sz w:val="10"/>
          <w:szCs w:val="10"/>
        </w:rPr>
      </w:pPr>
    </w:p>
    <w:p>
      <w:pPr>
        <w:suppressAutoHyphens/>
        <w:ind w:firstLine="425"/>
        <w:jc w:val="both"/>
        <w:textAlignment w:val="center"/>
        <w:rPr>
          <w:i/>
          <w:iCs/>
          <w:color w:val="000000"/>
          <w:szCs w:val="24"/>
        </w:rPr>
      </w:pPr>
      <w:r>
        <w:rPr>
          <w:color w:val="000000"/>
          <w:szCs w:val="24"/>
        </w:rPr>
        <w:t>2.4</w:t>
      </w:r>
      <w:r>
        <w:rPr>
          <w:color w:val="000000"/>
          <w:szCs w:val="24"/>
        </w:rPr>
        <w:t xml:space="preserve">. </w:t>
      </w:r>
      <w:r>
        <w:rPr>
          <w:b/>
          <w:bCs/>
          <w:color w:val="000000"/>
          <w:szCs w:val="24"/>
        </w:rPr>
        <w:t>Radijo dažnio nuokrypis</w:t>
      </w:r>
      <w:r>
        <w:rPr>
          <w:color w:val="000000"/>
          <w:szCs w:val="24"/>
        </w:rPr>
        <w:t> – didžiausias skirtumas tarp akimirkinio radijo dažnio ir nemoduliuoto nešlio dažnio.</w:t>
      </w:r>
    </w:p>
    <w:p>
      <w:pPr>
        <w:suppressAutoHyphens/>
        <w:ind w:firstLine="425"/>
        <w:jc w:val="both"/>
        <w:textAlignment w:val="center"/>
        <w:rPr>
          <w:color w:val="000000"/>
          <w:szCs w:val="24"/>
        </w:rPr>
      </w:pPr>
      <w:r>
        <w:rPr>
          <w:color w:val="000000"/>
          <w:szCs w:val="24"/>
        </w:rPr>
        <w:t>2.5</w:t>
      </w:r>
      <w:r>
        <w:rPr>
          <w:color w:val="000000"/>
          <w:szCs w:val="24"/>
        </w:rPr>
        <w:t xml:space="preserve">. </w:t>
      </w:r>
      <w:r>
        <w:rPr>
          <w:b/>
          <w:bCs/>
          <w:color w:val="000000"/>
          <w:szCs w:val="24"/>
        </w:rPr>
        <w:t>Visuminis signalas (MPX)</w:t>
      </w:r>
      <w:r>
        <w:rPr>
          <w:color w:val="000000"/>
          <w:szCs w:val="24"/>
        </w:rPr>
        <w:t> – kompleksinis signalas nešlio dažniui moduliuoti, kuriame yra visa informacija apie garsinius, valdymo ir papildomus signalus.</w:t>
      </w:r>
    </w:p>
    <w:p>
      <w:pPr>
        <w:suppressAutoHyphens/>
        <w:ind w:firstLine="425"/>
        <w:jc w:val="both"/>
        <w:textAlignment w:val="center"/>
        <w:rPr>
          <w:color w:val="000000"/>
          <w:szCs w:val="24"/>
        </w:rPr>
      </w:pPr>
      <w:r>
        <w:rPr>
          <w:color w:val="000000"/>
          <w:szCs w:val="24"/>
        </w:rPr>
        <w:t>2.6</w:t>
      </w:r>
      <w:r>
        <w:rPr>
          <w:color w:val="000000"/>
          <w:szCs w:val="24"/>
        </w:rPr>
        <w:t>. Kitos Taisyklėse vartojamos sąvokos apibrėžtos Lietuvos Respublikos elektroninių ryšių įstatyme ir Lietuvos standarte LST IEC 60050</w:t>
        <w:noBreakHyphen/>
        <w:t>161:1994 „Tarptautinis elektrotechnikos žodynas. 161 skyrius. Elektromagnetinis suderinamumas“.</w:t>
      </w:r>
    </w:p>
    <w:p>
      <w:pPr>
        <w:rPr>
          <w:sz w:val="20"/>
        </w:rPr>
      </w:pPr>
    </w:p>
    <w:p>
      <w:pPr>
        <w:jc w:val="center"/>
        <w:rPr>
          <w:b/>
          <w:bCs/>
          <w:caps/>
          <w:szCs w:val="24"/>
        </w:rPr>
      </w:pPr>
      <w:r>
        <w:rPr>
          <w:b/>
          <w:bCs/>
          <w:caps/>
          <w:szCs w:val="24"/>
        </w:rPr>
        <w:t>II</w:t>
      </w:r>
      <w:r>
        <w:rPr>
          <w:b/>
          <w:bCs/>
          <w:caps/>
          <w:szCs w:val="24"/>
        </w:rPr>
        <w:t xml:space="preserve"> SKYRIUS</w:t>
      </w:r>
    </w:p>
    <w:p>
      <w:pPr>
        <w:jc w:val="center"/>
        <w:rPr>
          <w:b/>
          <w:bCs/>
          <w:caps/>
          <w:szCs w:val="24"/>
        </w:rPr>
      </w:pPr>
      <w:r>
        <w:rPr>
          <w:b/>
          <w:bCs/>
          <w:caps/>
          <w:szCs w:val="24"/>
        </w:rPr>
        <w:t>matavimo SĄLYGOS</w:t>
      </w:r>
    </w:p>
    <w:p>
      <w:pPr>
        <w:rPr>
          <w:sz w:val="10"/>
          <w:szCs w:val="10"/>
        </w:rPr>
      </w:pPr>
    </w:p>
    <w:p>
      <w:pPr>
        <w:suppressAutoHyphens/>
        <w:ind w:firstLine="425"/>
        <w:jc w:val="both"/>
        <w:textAlignment w:val="center"/>
        <w:rPr>
          <w:color w:val="000000"/>
          <w:szCs w:val="24"/>
        </w:rPr>
      </w:pPr>
      <w:r>
        <w:rPr>
          <w:color w:val="000000"/>
          <w:szCs w:val="24"/>
        </w:rPr>
        <w:t>3</w:t>
      </w:r>
      <w:r>
        <w:rPr>
          <w:color w:val="000000"/>
          <w:szCs w:val="24"/>
        </w:rPr>
        <w:t>. Radijo dažnio nuokrypio ir moduliavimo galios matavimas turi būti atliekamas laikantis šių sąlygų:</w:t>
      </w:r>
    </w:p>
    <w:p>
      <w:pPr>
        <w:suppressAutoHyphens/>
        <w:ind w:firstLine="425"/>
        <w:jc w:val="both"/>
        <w:textAlignment w:val="center"/>
        <w:rPr>
          <w:color w:val="000000"/>
          <w:szCs w:val="24"/>
        </w:rPr>
      </w:pPr>
      <w:r>
        <w:rPr>
          <w:color w:val="000000"/>
          <w:szCs w:val="24"/>
        </w:rPr>
        <w:t>3.1</w:t>
      </w:r>
      <w:r>
        <w:rPr>
          <w:color w:val="000000"/>
          <w:szCs w:val="24"/>
        </w:rPr>
        <w:t xml:space="preserve">. Matuojamos stoties signalo lygis matavimo prietaiso įėjime turi būti ne mažesnis kaip   –47 dBm, kas atitinka 60 dBμV, esant matavimo prietaiso 50 Ω įėjimo varžai.</w:t>
      </w:r>
    </w:p>
    <w:p>
      <w:pPr>
        <w:suppressAutoHyphens/>
        <w:ind w:firstLine="425"/>
        <w:jc w:val="both"/>
        <w:textAlignment w:val="center"/>
        <w:rPr>
          <w:color w:val="000000"/>
          <w:szCs w:val="24"/>
        </w:rPr>
      </w:pPr>
      <w:r>
        <w:rPr>
          <w:color w:val="000000"/>
          <w:szCs w:val="24"/>
        </w:rPr>
        <w:t>3.2</w:t>
      </w:r>
      <w:r>
        <w:rPr>
          <w:color w:val="000000"/>
          <w:szCs w:val="24"/>
        </w:rPr>
        <w:t>. Matuojamos ir gretimos (trukdančios) stočių signalų lygių santykis turi būti ne mažesnis nei Taisyklių 1 priede nurodytos vertės.</w:t>
      </w:r>
    </w:p>
    <w:p>
      <w:pPr>
        <w:suppressAutoHyphens/>
        <w:ind w:firstLine="425"/>
        <w:jc w:val="both"/>
        <w:textAlignment w:val="center"/>
        <w:rPr>
          <w:color w:val="000000"/>
          <w:szCs w:val="24"/>
        </w:rPr>
      </w:pPr>
      <w:r>
        <w:rPr>
          <w:color w:val="000000"/>
          <w:szCs w:val="24"/>
        </w:rPr>
        <w:t>3.3</w:t>
      </w:r>
      <w:r>
        <w:rPr>
          <w:color w:val="000000"/>
          <w:szCs w:val="24"/>
        </w:rPr>
        <w:t xml:space="preserve">. Amplitudės keitimo koeficientas </w:t>
      </w:r>
      <w:r>
        <w:rPr>
          <w:i/>
          <w:color w:val="000000"/>
          <w:szCs w:val="24"/>
        </w:rPr>
        <w:t>k</w:t>
      </w:r>
      <w:r>
        <w:rPr>
          <w:color w:val="000000"/>
          <w:szCs w:val="24"/>
        </w:rPr>
        <w:t>, apibūdinantis dažnio moduliavimo keitimą į amplitudės moduliavimą, dėl įvairiakrypčio radijo signalų sklidimo monosignalo atveju turi būti ne didesnis nei 1,2 proc./kHz, stereosignalo atveju – ne didesnis nei 0,4 proc./kHz.</w:t>
      </w:r>
    </w:p>
    <w:p>
      <w:pPr>
        <w:suppressAutoHyphens/>
        <w:ind w:firstLine="425"/>
        <w:jc w:val="both"/>
        <w:textAlignment w:val="center"/>
        <w:rPr>
          <w:color w:val="000000"/>
          <w:szCs w:val="24"/>
        </w:rPr>
      </w:pPr>
      <w:r>
        <w:rPr>
          <w:color w:val="000000"/>
          <w:szCs w:val="24"/>
        </w:rPr>
        <w:t>3.4</w:t>
      </w:r>
      <w:r>
        <w:rPr>
          <w:color w:val="000000"/>
          <w:szCs w:val="24"/>
        </w:rPr>
        <w:t>. Matavimo trukmė turi būti ne trumpesnė kaip 15 min.</w:t>
      </w:r>
    </w:p>
    <w:p>
      <w:pPr>
        <w:rPr>
          <w:sz w:val="20"/>
        </w:rPr>
      </w:pPr>
    </w:p>
    <w:p>
      <w:pPr>
        <w:jc w:val="center"/>
        <w:rPr>
          <w:b/>
          <w:bCs/>
          <w:caps/>
          <w:szCs w:val="24"/>
        </w:rPr>
      </w:pPr>
      <w:r>
        <w:rPr>
          <w:b/>
          <w:color w:val="000000"/>
          <w:szCs w:val="24"/>
        </w:rPr>
        <w:t>I</w:t>
      </w:r>
      <w:r>
        <w:rPr>
          <w:b/>
          <w:bCs/>
          <w:caps/>
          <w:szCs w:val="24"/>
        </w:rPr>
        <w:t>II</w:t>
      </w:r>
      <w:r>
        <w:rPr>
          <w:b/>
          <w:bCs/>
          <w:caps/>
          <w:szCs w:val="24"/>
        </w:rPr>
        <w:t xml:space="preserve"> SKYRIUS</w:t>
      </w:r>
    </w:p>
    <w:p>
      <w:pPr>
        <w:jc w:val="center"/>
        <w:rPr>
          <w:b/>
          <w:bCs/>
          <w:caps/>
          <w:szCs w:val="24"/>
        </w:rPr>
      </w:pPr>
      <w:r>
        <w:rPr>
          <w:b/>
          <w:bCs/>
          <w:caps/>
          <w:szCs w:val="24"/>
        </w:rPr>
        <w:t>RADIJO DAŽNIO NUOKRYPIO matavimAS</w:t>
      </w:r>
    </w:p>
    <w:p>
      <w:pPr>
        <w:rPr>
          <w:sz w:val="10"/>
          <w:szCs w:val="10"/>
        </w:rPr>
      </w:pPr>
    </w:p>
    <w:p>
      <w:pPr>
        <w:suppressAutoHyphens/>
        <w:ind w:firstLine="425"/>
        <w:jc w:val="both"/>
        <w:textAlignment w:val="center"/>
        <w:rPr>
          <w:color w:val="000000"/>
          <w:szCs w:val="24"/>
        </w:rPr>
      </w:pPr>
      <w:r>
        <w:rPr>
          <w:color w:val="000000"/>
          <w:szCs w:val="24"/>
        </w:rPr>
        <w:t>4</w:t>
      </w:r>
      <w:r>
        <w:rPr>
          <w:color w:val="000000"/>
          <w:szCs w:val="24"/>
        </w:rPr>
        <w:t>. Radijo dažnio nuokrypis matuojamas siekiant nustatyti, ar santykinis laikas, kai stoties radijo dažnio nuokrypis yra didesnis nei leistinas (±75 kHz), neviršija 10</w:t>
      </w:r>
      <w:r>
        <w:rPr>
          <w:color w:val="000000"/>
          <w:szCs w:val="24"/>
          <w:vertAlign w:val="superscript"/>
        </w:rPr>
        <w:t>-4</w:t>
      </w:r>
      <w:r>
        <w:rPr>
          <w:color w:val="000000"/>
          <w:szCs w:val="24"/>
        </w:rPr>
        <w:t>%. Santykinis laikas yra lygus išmatuotų radijo dažnio nuokrypio verčių, viršijančių ribinę vertę, ir visų išmatuotų radijo dažnio nuokrypio verčių santykiui.</w:t>
      </w:r>
    </w:p>
    <w:p>
      <w:pPr>
        <w:suppressAutoHyphens/>
        <w:ind w:firstLine="425"/>
        <w:jc w:val="both"/>
        <w:textAlignment w:val="center"/>
        <w:rPr>
          <w:color w:val="000000"/>
          <w:szCs w:val="24"/>
        </w:rPr>
      </w:pPr>
      <w:r>
        <w:rPr>
          <w:color w:val="000000"/>
          <w:szCs w:val="24"/>
        </w:rPr>
        <w:t>5</w:t>
      </w:r>
      <w:r>
        <w:rPr>
          <w:color w:val="000000"/>
          <w:szCs w:val="24"/>
        </w:rPr>
        <w:t>. Prietaisas, matuojantis radijo dažnio nuokrypį, turi atitikti šiuos reikalavimus:</w:t>
      </w:r>
    </w:p>
    <w:p>
      <w:pPr>
        <w:suppressAutoHyphens/>
        <w:ind w:firstLine="425"/>
        <w:jc w:val="both"/>
        <w:textAlignment w:val="center"/>
        <w:rPr>
          <w:color w:val="000000"/>
          <w:szCs w:val="24"/>
        </w:rPr>
      </w:pPr>
      <w:r>
        <w:rPr>
          <w:color w:val="000000"/>
          <w:szCs w:val="24"/>
        </w:rPr>
        <w:t>5.1</w:t>
      </w:r>
      <w:r>
        <w:rPr>
          <w:color w:val="000000"/>
          <w:szCs w:val="24"/>
        </w:rPr>
        <w:t>. Jo tikslumas turi atitikti Taisyklių 2 priede nurodytas vertes.</w:t>
      </w:r>
    </w:p>
    <w:p>
      <w:pPr>
        <w:suppressAutoHyphens/>
        <w:ind w:firstLine="425"/>
        <w:jc w:val="both"/>
        <w:textAlignment w:val="center"/>
        <w:rPr>
          <w:color w:val="000000"/>
          <w:szCs w:val="24"/>
        </w:rPr>
      </w:pPr>
      <w:r>
        <w:rPr>
          <w:color w:val="000000"/>
          <w:szCs w:val="24"/>
        </w:rPr>
        <w:t>5.2</w:t>
      </w:r>
      <w:r>
        <w:rPr>
          <w:color w:val="000000"/>
          <w:szCs w:val="24"/>
        </w:rPr>
        <w:t>. Imčių spartos dažnis, atsižvelgiant į didžiausią visuminį signalo dažnį, turi būti ne mažesnis negu 200 kHz.</w:t>
      </w:r>
    </w:p>
    <w:p>
      <w:pPr>
        <w:suppressAutoHyphens/>
        <w:ind w:firstLine="425"/>
        <w:jc w:val="both"/>
        <w:textAlignment w:val="center"/>
        <w:rPr>
          <w:szCs w:val="24"/>
        </w:rPr>
      </w:pPr>
      <w:r>
        <w:rPr>
          <w:color w:val="000000"/>
          <w:szCs w:val="24"/>
        </w:rPr>
        <w:t>6</w:t>
      </w:r>
      <w:r>
        <w:rPr>
          <w:color w:val="000000"/>
          <w:szCs w:val="24"/>
        </w:rPr>
        <w:t xml:space="preserve">. Radijo dažnio nuokrypio </w:t>
      </w:r>
      <w:r>
        <w:rPr>
          <w:szCs w:val="24"/>
        </w:rPr>
        <w:t xml:space="preserve">matavimo metu turi būti gaunama ne mažiau nei 1,8 </w:t>
      </w:r>
      <w:r>
        <w:rPr>
          <w:position w:val="-6"/>
          <w:szCs w:val="24"/>
        </w:rPr>
        <w:t>*</w:t>
      </w:r>
      <w:r>
        <w:rPr>
          <w:szCs w:val="24"/>
        </w:rPr>
        <w:t xml:space="preserve"> 10</w:t>
      </w:r>
      <w:r>
        <w:rPr>
          <w:position w:val="6"/>
          <w:sz w:val="16"/>
          <w:szCs w:val="16"/>
        </w:rPr>
        <w:t>8</w:t>
      </w:r>
      <w:r>
        <w:rPr>
          <w:szCs w:val="24"/>
        </w:rPr>
        <w:t xml:space="preserve"> radijo dažnio nuokrypio verčių.</w:t>
      </w:r>
    </w:p>
    <w:p>
      <w:pPr>
        <w:suppressAutoHyphens/>
        <w:ind w:firstLine="425"/>
        <w:jc w:val="both"/>
        <w:textAlignment w:val="center"/>
        <w:rPr>
          <w:szCs w:val="24"/>
        </w:rPr>
      </w:pPr>
      <w:r>
        <w:rPr>
          <w:color w:val="000000"/>
          <w:szCs w:val="24"/>
        </w:rPr>
        <w:t>7</w:t>
      </w:r>
      <w:r>
        <w:rPr>
          <w:color w:val="000000"/>
          <w:szCs w:val="24"/>
        </w:rPr>
        <w:t xml:space="preserve">. Radijo dažnio nuokrypio </w:t>
      </w:r>
      <w:r>
        <w:rPr>
          <w:szCs w:val="24"/>
        </w:rPr>
        <w:t>matavimo rezultatai vertinami vadovaujantis Taisyklių 3 priedu.</w:t>
      </w:r>
    </w:p>
    <w:p>
      <w:pPr>
        <w:suppressAutoHyphens/>
        <w:ind w:firstLine="425"/>
        <w:jc w:val="both"/>
        <w:textAlignment w:val="center"/>
        <w:rPr>
          <w:szCs w:val="24"/>
        </w:rPr>
      </w:pPr>
      <w:r>
        <w:rPr>
          <w:szCs w:val="24"/>
        </w:rPr>
        <w:t>8</w:t>
      </w:r>
      <w:r>
        <w:rPr>
          <w:szCs w:val="24"/>
        </w:rPr>
        <w:t xml:space="preserve">. Priklausomai nuo </w:t>
      </w:r>
      <w:r>
        <w:rPr>
          <w:color w:val="000000"/>
          <w:szCs w:val="24"/>
        </w:rPr>
        <w:t xml:space="preserve">radijo dažnio nuokrypio </w:t>
      </w:r>
      <w:r>
        <w:rPr>
          <w:szCs w:val="24"/>
        </w:rPr>
        <w:t>matavimo rezultatų, matavimų skaičius gali būti nuo 1 iki 2.</w:t>
      </w:r>
    </w:p>
    <w:p>
      <w:pPr>
        <w:rPr>
          <w:sz w:val="20"/>
        </w:rPr>
      </w:pPr>
    </w:p>
    <w:p>
      <w:pPr>
        <w:jc w:val="center"/>
        <w:rPr>
          <w:b/>
          <w:bCs/>
          <w:caps/>
          <w:szCs w:val="24"/>
        </w:rPr>
      </w:pPr>
      <w:r>
        <w:rPr>
          <w:b/>
          <w:bCs/>
          <w:caps/>
          <w:szCs w:val="24"/>
        </w:rPr>
        <w:t>IV</w:t>
      </w:r>
      <w:r>
        <w:rPr>
          <w:b/>
          <w:bCs/>
          <w:caps/>
          <w:szCs w:val="24"/>
        </w:rPr>
        <w:t xml:space="preserve"> SKYRIUS</w:t>
      </w:r>
    </w:p>
    <w:p>
      <w:pPr>
        <w:jc w:val="center"/>
        <w:rPr>
          <w:b/>
          <w:bCs/>
          <w:caps/>
          <w:szCs w:val="24"/>
        </w:rPr>
      </w:pPr>
      <w:r>
        <w:rPr>
          <w:b/>
          <w:bCs/>
          <w:caps/>
          <w:szCs w:val="24"/>
        </w:rPr>
        <w:t>MODULIAVIMO GALIOS MATAVIMAS</w:t>
      </w:r>
    </w:p>
    <w:p>
      <w:pPr>
        <w:rPr>
          <w:sz w:val="10"/>
          <w:szCs w:val="10"/>
        </w:rPr>
      </w:pPr>
    </w:p>
    <w:p>
      <w:pPr>
        <w:suppressAutoHyphens/>
        <w:ind w:firstLine="425"/>
        <w:jc w:val="both"/>
        <w:textAlignment w:val="center"/>
        <w:rPr>
          <w:color w:val="000000"/>
          <w:sz w:val="20"/>
        </w:rPr>
      </w:pPr>
      <w:r>
        <w:rPr>
          <w:color w:val="000000"/>
          <w:szCs w:val="24"/>
        </w:rPr>
        <w:t>9</w:t>
      </w:r>
      <w:r>
        <w:rPr>
          <w:color w:val="000000"/>
          <w:szCs w:val="24"/>
        </w:rPr>
        <w:t>. Moduliavimo galia matuojama siekiant nustatyti, ar stoties moduliavimo galia yra didesnė nei leistina (0 dBr).</w:t>
      </w:r>
    </w:p>
    <w:p>
      <w:pPr>
        <w:suppressAutoHyphens/>
        <w:ind w:firstLine="425"/>
        <w:jc w:val="both"/>
        <w:textAlignment w:val="center"/>
        <w:rPr>
          <w:color w:val="000000"/>
          <w:szCs w:val="24"/>
        </w:rPr>
      </w:pPr>
      <w:r>
        <w:rPr>
          <w:color w:val="000000"/>
          <w:szCs w:val="24"/>
        </w:rPr>
        <w:t>10</w:t>
      </w:r>
      <w:r>
        <w:rPr>
          <w:color w:val="000000"/>
          <w:szCs w:val="24"/>
        </w:rPr>
        <w:t>. Prietaisas, matuojantis moduliavimo galią, turi atitikti šiuos reikalavimus:</w:t>
      </w:r>
    </w:p>
    <w:p>
      <w:pPr>
        <w:suppressAutoHyphens/>
        <w:ind w:firstLine="425"/>
        <w:jc w:val="both"/>
        <w:textAlignment w:val="center"/>
        <w:rPr>
          <w:color w:val="000000"/>
          <w:szCs w:val="24"/>
        </w:rPr>
      </w:pPr>
      <w:r>
        <w:rPr>
          <w:color w:val="000000"/>
          <w:szCs w:val="24"/>
        </w:rPr>
        <w:t>10.1</w:t>
      </w:r>
      <w:r>
        <w:rPr>
          <w:color w:val="000000"/>
          <w:szCs w:val="24"/>
        </w:rPr>
        <w:t xml:space="preserve">. Matavimo intervalas turi būti ne siauresnis kaip nuo  –6 dBr iki  +6 dBr.</w:t>
      </w:r>
    </w:p>
    <w:p>
      <w:pPr>
        <w:suppressAutoHyphens/>
        <w:ind w:firstLine="425"/>
        <w:jc w:val="both"/>
        <w:textAlignment w:val="center"/>
        <w:rPr>
          <w:color w:val="000000"/>
          <w:szCs w:val="24"/>
        </w:rPr>
      </w:pPr>
      <w:r>
        <w:rPr>
          <w:color w:val="000000"/>
          <w:szCs w:val="24"/>
        </w:rPr>
        <w:t>10.2</w:t>
      </w:r>
      <w:r>
        <w:rPr>
          <w:color w:val="000000"/>
          <w:szCs w:val="24"/>
        </w:rPr>
        <w:t>. Prietaiso tikslumas turi atitikti Taisyklių 2 priede nurodytas vertes.</w:t>
      </w:r>
    </w:p>
    <w:p>
      <w:pPr>
        <w:suppressAutoHyphens/>
        <w:ind w:firstLine="425"/>
        <w:jc w:val="both"/>
        <w:textAlignment w:val="center"/>
        <w:rPr>
          <w:color w:val="000000"/>
          <w:szCs w:val="24"/>
        </w:rPr>
      </w:pPr>
      <w:r>
        <w:rPr>
          <w:color w:val="000000"/>
          <w:szCs w:val="24"/>
        </w:rPr>
        <w:t>11</w:t>
      </w:r>
      <w:r>
        <w:rPr>
          <w:color w:val="000000"/>
          <w:szCs w:val="24"/>
        </w:rPr>
        <w:t>. Moduliavimo galios matavimo rezultatai vertinami vadovaujantis Taisyklių 4 priedu.</w:t>
      </w:r>
    </w:p>
    <w:p>
      <w:pPr>
        <w:suppressAutoHyphens/>
        <w:ind w:firstLine="425"/>
        <w:jc w:val="both"/>
        <w:textAlignment w:val="center"/>
        <w:rPr>
          <w:color w:val="000000"/>
          <w:szCs w:val="24"/>
        </w:rPr>
      </w:pPr>
      <w:r>
        <w:rPr>
          <w:color w:val="000000"/>
          <w:szCs w:val="24"/>
        </w:rPr>
        <w:t>12</w:t>
      </w:r>
      <w:r>
        <w:rPr>
          <w:color w:val="000000"/>
          <w:szCs w:val="24"/>
        </w:rPr>
        <w:t>. Priklausomai nuo moduliavimo galios matavimo rezultatų, matavimų skaičius gali būti nuo 1 iki 2.</w:t>
      </w:r>
    </w:p>
    <w:p>
      <w:pPr>
        <w:rPr>
          <w:sz w:val="20"/>
        </w:rPr>
      </w:pPr>
    </w:p>
    <w:p>
      <w:pPr>
        <w:jc w:val="center"/>
        <w:rPr>
          <w:b/>
          <w:bCs/>
          <w:caps/>
          <w:szCs w:val="24"/>
        </w:rPr>
      </w:pPr>
      <w:r>
        <w:rPr>
          <w:b/>
          <w:bCs/>
          <w:caps/>
          <w:szCs w:val="24"/>
        </w:rPr>
        <w:t>V</w:t>
      </w:r>
      <w:r>
        <w:rPr>
          <w:b/>
          <w:bCs/>
          <w:caps/>
          <w:szCs w:val="24"/>
        </w:rPr>
        <w:t xml:space="preserve"> SKYRIUS</w:t>
      </w:r>
    </w:p>
    <w:p>
      <w:pPr>
        <w:jc w:val="center"/>
        <w:rPr>
          <w:b/>
          <w:bCs/>
          <w:caps/>
          <w:szCs w:val="24"/>
        </w:rPr>
      </w:pPr>
      <w:r>
        <w:rPr>
          <w:b/>
          <w:bCs/>
          <w:caps/>
          <w:szCs w:val="24"/>
        </w:rPr>
        <w:t>MATAVIMo REZULTATŲ ĮFORMINIMAS</w:t>
      </w:r>
    </w:p>
    <w:p>
      <w:pPr>
        <w:rPr>
          <w:sz w:val="10"/>
          <w:szCs w:val="10"/>
        </w:rPr>
      </w:pPr>
    </w:p>
    <w:p>
      <w:pPr>
        <w:suppressAutoHyphens/>
        <w:ind w:firstLine="425"/>
        <w:jc w:val="both"/>
        <w:textAlignment w:val="center"/>
        <w:rPr>
          <w:color w:val="000000"/>
          <w:szCs w:val="24"/>
        </w:rPr>
      </w:pPr>
      <w:r>
        <w:rPr>
          <w:color w:val="000000"/>
          <w:szCs w:val="24"/>
        </w:rPr>
        <w:t>13</w:t>
      </w:r>
      <w:r>
        <w:rPr>
          <w:color w:val="000000"/>
          <w:szCs w:val="24"/>
        </w:rPr>
        <w:t>. Radijo dažnio nuokrypio ir moduliavimo galios</w:t>
      </w:r>
      <w:r>
        <w:rPr>
          <w:color w:val="000000"/>
          <w:sz w:val="20"/>
        </w:rPr>
        <w:t xml:space="preserve"> </w:t>
      </w:r>
      <w:r>
        <w:rPr>
          <w:color w:val="000000"/>
          <w:szCs w:val="24"/>
        </w:rPr>
        <w:t xml:space="preserve">matavimo rezultatai įforminami užpildant Taisyklių 5 priede pateiktą </w:t>
      </w:r>
      <w:r>
        <w:rPr>
          <w:bCs/>
          <w:color w:val="000000"/>
          <w:szCs w:val="24"/>
        </w:rPr>
        <w:t>Dažninės moduliacijos radijo transliavimo stoties radijo dažnio nuokrypio ir moduliavimo galios</w:t>
      </w:r>
      <w:r>
        <w:rPr>
          <w:color w:val="000000"/>
          <w:szCs w:val="24"/>
        </w:rPr>
        <w:t xml:space="preserve"> matavimo protokolo (toliau – protokolas) formą. Jeigu matavimai atliekami 2 kartus, protokole pateikiami antrojo matavimo rezultatai. </w:t>
      </w:r>
    </w:p>
    <w:p>
      <w:pPr>
        <w:suppressAutoHyphens/>
        <w:ind w:firstLine="425"/>
        <w:jc w:val="both"/>
        <w:textAlignment w:val="center"/>
        <w:rPr>
          <w:color w:val="000000"/>
          <w:szCs w:val="24"/>
        </w:rPr>
      </w:pPr>
      <w:r>
        <w:rPr>
          <w:color w:val="000000"/>
          <w:szCs w:val="24"/>
        </w:rPr>
        <w:t>14</w:t>
      </w:r>
      <w:r>
        <w:rPr>
          <w:color w:val="000000"/>
          <w:szCs w:val="24"/>
        </w:rPr>
        <w:t>. Protokolai saugomi Tarnyboje Lietuvos vyriausiojo archyvaro tarnybos nustatyta tvarka.</w:t>
      </w:r>
    </w:p>
    <w:p>
      <w:pPr>
        <w:rPr>
          <w:sz w:val="20"/>
        </w:rPr>
      </w:pPr>
    </w:p>
    <w:p>
      <w:pPr>
        <w:jc w:val="center"/>
        <w:rPr>
          <w:b/>
          <w:bCs/>
          <w:caps/>
          <w:szCs w:val="24"/>
        </w:rPr>
      </w:pPr>
      <w:r>
        <w:rPr>
          <w:b/>
          <w:bCs/>
          <w:caps/>
          <w:szCs w:val="24"/>
        </w:rPr>
        <w:t>VI</w:t>
      </w:r>
      <w:r>
        <w:rPr>
          <w:b/>
          <w:bCs/>
          <w:caps/>
          <w:szCs w:val="24"/>
        </w:rPr>
        <w:t xml:space="preserve"> SKYRIUS</w:t>
      </w:r>
    </w:p>
    <w:p>
      <w:pPr>
        <w:jc w:val="center"/>
        <w:rPr>
          <w:b/>
          <w:bCs/>
          <w:caps/>
          <w:szCs w:val="24"/>
        </w:rPr>
      </w:pPr>
      <w:r>
        <w:rPr>
          <w:b/>
          <w:bCs/>
          <w:caps/>
          <w:szCs w:val="24"/>
        </w:rPr>
        <w:t>BAIGIAMOSIOS NUOSTATOS</w:t>
      </w:r>
    </w:p>
    <w:p>
      <w:pPr>
        <w:rPr>
          <w:sz w:val="10"/>
          <w:szCs w:val="10"/>
        </w:rPr>
      </w:pPr>
    </w:p>
    <w:p>
      <w:pPr>
        <w:suppressAutoHyphens/>
        <w:ind w:firstLine="425"/>
        <w:jc w:val="both"/>
        <w:textAlignment w:val="center"/>
        <w:rPr>
          <w:color w:val="000000"/>
          <w:szCs w:val="24"/>
        </w:rPr>
      </w:pPr>
      <w:r>
        <w:rPr>
          <w:color w:val="000000"/>
          <w:szCs w:val="24"/>
        </w:rPr>
        <w:t>15</w:t>
      </w:r>
      <w:r>
        <w:rPr>
          <w:color w:val="000000"/>
          <w:szCs w:val="24"/>
        </w:rPr>
        <w:t>. Tarnybos veiksmai ar neveikimas, įgyvendinant šias Taisykles, gali būti skundžiami Lietuvos Respublikos įstatymų nustatyta tvarka ir sąlygomis.</w:t>
      </w:r>
    </w:p>
    <w:p>
      <w:pPr>
        <w:rPr>
          <w:sz w:val="20"/>
        </w:rPr>
      </w:pPr>
    </w:p>
    <w:p>
      <w:pPr>
        <w:tabs>
          <w:tab w:val="left" w:pos="1080"/>
        </w:tabs>
        <w:jc w:val="center"/>
        <w:outlineLvl w:val="2"/>
        <w:rPr>
          <w:szCs w:val="24"/>
          <w:lang w:eastAsia="lt-LT"/>
        </w:rPr>
      </w:pPr>
      <w:r>
        <w:rPr>
          <w:kern w:val="28"/>
          <w:szCs w:val="24"/>
        </w:rPr>
        <w:t>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
      <w:pPr>
        <w:tabs>
          <w:tab w:val="left" w:pos="1080"/>
        </w:tabs>
        <w:ind w:left="5245"/>
        <w:outlineLvl w:val="2"/>
      </w:pPr>
      <w:r>
        <w:br w:type="page"/>
      </w:r>
    </w:p>
    <w:p>
      <w:pPr>
        <w:tabs>
          <w:tab w:val="left" w:pos="1080"/>
        </w:tabs>
        <w:ind w:left="5245"/>
        <w:outlineLvl w:val="2"/>
        <w:rPr>
          <w:kern w:val="28"/>
          <w:szCs w:val="24"/>
        </w:rPr>
      </w:pPr>
      <w:r>
        <w:rPr>
          <w:kern w:val="28"/>
          <w:szCs w:val="24"/>
        </w:rPr>
        <w:t>Dažninės moduliacijos radijo transliavimo stočių radijo dažnio nuokrypio ir moduliavimo galios matavimo radijo stebėsenos stotyse taisyklių</w:t>
      </w:r>
    </w:p>
    <w:p>
      <w:pPr>
        <w:tabs>
          <w:tab w:val="left" w:pos="1080"/>
        </w:tabs>
        <w:ind w:left="5245"/>
        <w:outlineLvl w:val="2"/>
        <w:rPr>
          <w:kern w:val="28"/>
          <w:szCs w:val="24"/>
        </w:rPr>
      </w:pPr>
      <w:r>
        <w:rPr>
          <w:kern w:val="28"/>
          <w:szCs w:val="24"/>
        </w:rPr>
        <w:t>1</w:t>
      </w:r>
      <w:r>
        <w:rPr>
          <w:kern w:val="28"/>
          <w:szCs w:val="24"/>
        </w:rPr>
        <w:t xml:space="preserve"> priedas</w:t>
      </w:r>
    </w:p>
    <w:p>
      <w:pPr>
        <w:rPr>
          <w:sz w:val="42"/>
          <w:szCs w:val="42"/>
        </w:rPr>
      </w:pPr>
    </w:p>
    <w:p>
      <w:pPr>
        <w:tabs>
          <w:tab w:val="left" w:pos="1080"/>
        </w:tabs>
        <w:jc w:val="center"/>
        <w:outlineLvl w:val="2"/>
        <w:rPr>
          <w:b/>
          <w:bCs/>
          <w:caps/>
          <w:kern w:val="28"/>
          <w:szCs w:val="24"/>
        </w:rPr>
      </w:pPr>
      <w:r>
        <w:rPr>
          <w:b/>
          <w:bCs/>
          <w:caps/>
          <w:kern w:val="28"/>
          <w:szCs w:val="24"/>
        </w:rPr>
        <w:t>matuojamos ir GRETIMOS (TRUKDANČIOS) Stočių signalų lygių MINIMALUS santykis</w:t>
      </w:r>
    </w:p>
    <w:p>
      <w:pPr>
        <w:rPr>
          <w:sz w:val="42"/>
          <w:szCs w:val="42"/>
        </w:rPr>
      </w:pPr>
    </w:p>
    <w:p>
      <w:pPr>
        <w:tabs>
          <w:tab w:val="left" w:pos="1080"/>
        </w:tabs>
        <w:jc w:val="center"/>
        <w:outlineLvl w:val="2"/>
        <w:rPr>
          <w:b/>
          <w:bCs/>
          <w:caps/>
          <w:kern w:val="28"/>
          <w:szCs w:val="24"/>
        </w:rPr>
      </w:pPr>
      <w:r>
        <w:rPr>
          <w:rFonts w:cs="Arial Unicode MS"/>
          <w:kern w:val="28"/>
          <w:sz w:val="20"/>
          <w:lang w:eastAsia="lt-LT"/>
        </w:rPr>
        <w:drawing>
          <wp:inline distT="0" distB="0" distL="0" distR="0">
            <wp:extent cx="5200650" cy="3305175"/>
            <wp:effectExtent l="0" t="0" r="0" b="0"/>
            <wp:docPr id="1" name="Chart 1"/>
            <wp:cNvGraphicFramePr/>
            <a:graphic xmlns:a="http://schemas.openxmlformats.org/drawingml/2006/main">
              <a:graphicData uri="http://schemas.openxmlformats.org/drawingml/2006/chart">
                <c:chart xmlns:c="http://schemas.openxmlformats.org/drawingml/2006/chart" r:id="rId13"/>
              </a:graphicData>
            </a:graphic>
          </wp:inline>
        </w:drawing>
      </w:r>
    </w:p>
    <w:p>
      <w:pPr>
        <w:rPr>
          <w:sz w:val="20"/>
        </w:rPr>
      </w:pPr>
    </w:p>
    <w:p>
      <w:pPr>
        <w:tabs>
          <w:tab w:val="left" w:pos="1080"/>
        </w:tabs>
        <w:ind w:left="1191"/>
        <w:outlineLvl w:val="2"/>
        <w:rPr>
          <w:bCs/>
          <w:caps/>
          <w:kern w:val="28"/>
          <w:szCs w:val="24"/>
        </w:rPr>
      </w:pPr>
      <w:r>
        <w:rPr>
          <w:bCs/>
          <w:caps/>
          <w:kern w:val="28"/>
          <w:szCs w:val="24"/>
        </w:rPr>
        <w:t xml:space="preserve">B – </w:t>
      </w:r>
      <w:r>
        <w:rPr>
          <w:bCs/>
          <w:kern w:val="28"/>
          <w:szCs w:val="24"/>
        </w:rPr>
        <w:t>prietaiso radijo dažnių įėjimo filtro juostos plotis.</w:t>
      </w:r>
    </w:p>
    <w:p>
      <w:pPr>
        <w:rPr>
          <w:sz w:val="20"/>
        </w:rPr>
      </w:pPr>
    </w:p>
    <w:p>
      <w:pPr>
        <w:tabs>
          <w:tab w:val="left" w:pos="1080"/>
        </w:tabs>
        <w:jc w:val="center"/>
        <w:outlineLvl w:val="2"/>
        <w:rPr>
          <w:szCs w:val="24"/>
          <w:lang w:eastAsia="lt-LT"/>
        </w:rPr>
      </w:pPr>
      <w:r>
        <w:rPr>
          <w:kern w:val="28"/>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
      <w:pPr>
        <w:tabs>
          <w:tab w:val="left" w:pos="1080"/>
        </w:tabs>
        <w:ind w:left="5245"/>
        <w:outlineLvl w:val="2"/>
      </w:pPr>
      <w:r>
        <w:br w:type="page"/>
      </w:r>
    </w:p>
    <w:p>
      <w:pPr>
        <w:tabs>
          <w:tab w:val="left" w:pos="1080"/>
        </w:tabs>
        <w:ind w:left="5245"/>
        <w:outlineLvl w:val="2"/>
        <w:rPr>
          <w:kern w:val="28"/>
          <w:szCs w:val="24"/>
        </w:rPr>
      </w:pPr>
      <w:r>
        <w:rPr>
          <w:kern w:val="28"/>
          <w:szCs w:val="24"/>
        </w:rPr>
        <w:t>Dažninės moduliacijos radijo transliavimo stočių radijo dažnio nuokrypio ir moduliavimo galios matavimo radijo stebėsenos stotyse taisyklių</w:t>
      </w:r>
    </w:p>
    <w:p>
      <w:pPr>
        <w:tabs>
          <w:tab w:val="left" w:pos="1080"/>
        </w:tabs>
        <w:ind w:left="5245"/>
        <w:outlineLvl w:val="2"/>
        <w:rPr>
          <w:rFonts w:cs="Arial Unicode MS"/>
          <w:kern w:val="28"/>
          <w:szCs w:val="24"/>
        </w:rPr>
      </w:pPr>
      <w:r>
        <w:rPr>
          <w:kern w:val="28"/>
          <w:szCs w:val="24"/>
        </w:rPr>
        <w:t>2</w:t>
      </w:r>
      <w:r>
        <w:rPr>
          <w:kern w:val="28"/>
          <w:szCs w:val="24"/>
        </w:rPr>
        <w:t xml:space="preserve"> priedas</w:t>
      </w:r>
    </w:p>
    <w:p>
      <w:pPr>
        <w:rPr>
          <w:sz w:val="42"/>
          <w:szCs w:val="42"/>
        </w:rPr>
      </w:pPr>
    </w:p>
    <w:p>
      <w:pPr>
        <w:keepNext/>
        <w:jc w:val="center"/>
        <w:outlineLvl w:val="2"/>
        <w:rPr>
          <w:b/>
          <w:bCs/>
          <w:caps/>
          <w:szCs w:val="24"/>
        </w:rPr>
      </w:pPr>
      <w:r>
        <w:rPr>
          <w:b/>
          <w:bCs/>
          <w:caps/>
          <w:szCs w:val="24"/>
        </w:rPr>
        <w:t>MATAVIMO PRIETAISŲ TIKSLUMO REIKALAVIMAI</w:t>
      </w:r>
    </w:p>
    <w:p>
      <w:pPr>
        <w:rPr>
          <w:szCs w:val="24"/>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3402"/>
        <w:gridCol w:w="3685"/>
        <w:gridCol w:w="2291"/>
      </w:tblGrid>
      <w:tr>
        <w:trPr>
          <w:trHeight w:val="510"/>
          <w:jc w:val="center"/>
        </w:trPr>
        <w:tc>
          <w:tcPr>
            <w:tcW w:w="593" w:type="dxa"/>
            <w:vAlign w:val="center"/>
          </w:tcPr>
          <w:p>
            <w:pPr>
              <w:jc w:val="center"/>
              <w:rPr>
                <w:b/>
                <w:szCs w:val="24"/>
              </w:rPr>
            </w:pPr>
            <w:r>
              <w:rPr>
                <w:b/>
                <w:szCs w:val="24"/>
              </w:rPr>
              <w:t>Eil.</w:t>
            </w:r>
          </w:p>
          <w:p>
            <w:pPr>
              <w:jc w:val="center"/>
              <w:rPr>
                <w:b/>
                <w:szCs w:val="24"/>
              </w:rPr>
            </w:pPr>
            <w:r>
              <w:rPr>
                <w:b/>
                <w:szCs w:val="24"/>
              </w:rPr>
              <w:t>Nr.</w:t>
            </w:r>
          </w:p>
        </w:tc>
        <w:tc>
          <w:tcPr>
            <w:tcW w:w="3402" w:type="dxa"/>
            <w:vAlign w:val="center"/>
          </w:tcPr>
          <w:p>
            <w:pPr>
              <w:jc w:val="center"/>
              <w:rPr>
                <w:b/>
                <w:szCs w:val="24"/>
              </w:rPr>
            </w:pPr>
            <w:r>
              <w:rPr>
                <w:b/>
                <w:szCs w:val="24"/>
              </w:rPr>
              <w:t>Matuojamas parametras</w:t>
            </w:r>
          </w:p>
        </w:tc>
        <w:tc>
          <w:tcPr>
            <w:tcW w:w="3685" w:type="dxa"/>
            <w:vAlign w:val="center"/>
          </w:tcPr>
          <w:p>
            <w:pPr>
              <w:jc w:val="center"/>
              <w:rPr>
                <w:b/>
                <w:szCs w:val="24"/>
              </w:rPr>
            </w:pPr>
            <w:r>
              <w:rPr>
                <w:b/>
                <w:szCs w:val="24"/>
              </w:rPr>
              <w:t>Matavimo riba</w:t>
            </w:r>
          </w:p>
        </w:tc>
        <w:tc>
          <w:tcPr>
            <w:tcW w:w="2291" w:type="dxa"/>
            <w:vAlign w:val="center"/>
          </w:tcPr>
          <w:p>
            <w:pPr>
              <w:jc w:val="center"/>
              <w:rPr>
                <w:b/>
                <w:szCs w:val="24"/>
              </w:rPr>
            </w:pPr>
            <w:r>
              <w:rPr>
                <w:b/>
                <w:szCs w:val="24"/>
              </w:rPr>
              <w:t>Tikslumo vertės</w:t>
            </w:r>
          </w:p>
        </w:tc>
      </w:tr>
      <w:tr>
        <w:trPr>
          <w:jc w:val="center"/>
        </w:trPr>
        <w:tc>
          <w:tcPr>
            <w:tcW w:w="593" w:type="dxa"/>
            <w:vMerge w:val="restart"/>
            <w:vAlign w:val="center"/>
          </w:tcPr>
          <w:p>
            <w:pPr>
              <w:jc w:val="center"/>
              <w:rPr>
                <w:szCs w:val="24"/>
              </w:rPr>
            </w:pPr>
            <w:r>
              <w:rPr>
                <w:szCs w:val="24"/>
              </w:rPr>
              <w:t>1.</w:t>
            </w:r>
          </w:p>
        </w:tc>
        <w:tc>
          <w:tcPr>
            <w:tcW w:w="3402" w:type="dxa"/>
            <w:vMerge w:val="restart"/>
            <w:vAlign w:val="center"/>
          </w:tcPr>
          <w:p>
            <w:pPr>
              <w:jc w:val="center"/>
              <w:rPr>
                <w:szCs w:val="24"/>
              </w:rPr>
            </w:pPr>
            <w:r>
              <w:rPr>
                <w:szCs w:val="24"/>
              </w:rPr>
              <w:t>Radijo dažnio nuokrypis</w:t>
            </w:r>
          </w:p>
        </w:tc>
        <w:tc>
          <w:tcPr>
            <w:tcW w:w="3685" w:type="dxa"/>
          </w:tcPr>
          <w:p>
            <w:pPr>
              <w:rPr>
                <w:sz w:val="6"/>
                <w:szCs w:val="6"/>
              </w:rPr>
            </w:pPr>
          </w:p>
          <w:p>
            <w:pPr>
              <w:jc w:val="center"/>
              <w:rPr>
                <w:szCs w:val="24"/>
              </w:rPr>
            </w:pPr>
            <w:r>
              <w:rPr>
                <w:i/>
                <w:iCs/>
                <w:szCs w:val="24"/>
              </w:rPr>
              <w:t xml:space="preserve">∆f </w:t>
            </w:r>
            <w:r>
              <w:rPr>
                <w:szCs w:val="24"/>
              </w:rPr>
              <w:t>&lt; 80 kHz</w:t>
            </w:r>
          </w:p>
        </w:tc>
        <w:tc>
          <w:tcPr>
            <w:tcW w:w="2291" w:type="dxa"/>
          </w:tcPr>
          <w:p>
            <w:pPr>
              <w:rPr>
                <w:sz w:val="6"/>
                <w:szCs w:val="6"/>
              </w:rPr>
            </w:pPr>
          </w:p>
          <w:p>
            <w:pPr>
              <w:jc w:val="center"/>
              <w:rPr>
                <w:szCs w:val="24"/>
              </w:rPr>
            </w:pPr>
            <w:r>
              <w:rPr>
                <w:szCs w:val="24"/>
              </w:rPr>
              <w:sym w:font="Symbol" w:char="F0B1"/>
              <w:t xml:space="preserve"> 4,4 kHz</w:t>
            </w:r>
          </w:p>
        </w:tc>
      </w:tr>
      <w:tr>
        <w:trPr>
          <w:jc w:val="center"/>
        </w:trPr>
        <w:tc>
          <w:tcPr>
            <w:tcW w:w="593" w:type="dxa"/>
            <w:vMerge/>
            <w:vAlign w:val="center"/>
          </w:tcPr>
          <w:p>
            <w:pPr>
              <w:jc w:val="center"/>
              <w:rPr>
                <w:szCs w:val="24"/>
              </w:rPr>
            </w:pPr>
          </w:p>
        </w:tc>
        <w:tc>
          <w:tcPr>
            <w:tcW w:w="3402" w:type="dxa"/>
            <w:vMerge/>
          </w:tcPr>
          <w:p>
            <w:pPr>
              <w:jc w:val="center"/>
              <w:rPr>
                <w:szCs w:val="24"/>
              </w:rPr>
            </w:pPr>
          </w:p>
        </w:tc>
        <w:tc>
          <w:tcPr>
            <w:tcW w:w="3685" w:type="dxa"/>
          </w:tcPr>
          <w:p>
            <w:pPr>
              <w:rPr>
                <w:sz w:val="6"/>
                <w:szCs w:val="6"/>
              </w:rPr>
            </w:pPr>
          </w:p>
          <w:p>
            <w:pPr>
              <w:jc w:val="center"/>
              <w:rPr>
                <w:szCs w:val="24"/>
              </w:rPr>
            </w:pPr>
            <w:r>
              <w:rPr>
                <w:szCs w:val="24"/>
              </w:rPr>
              <w:t xml:space="preserve">80 kHz ≤ </w:t>
            </w:r>
            <w:r>
              <w:rPr>
                <w:i/>
                <w:iCs/>
                <w:szCs w:val="24"/>
              </w:rPr>
              <w:t xml:space="preserve">∆f </w:t>
            </w:r>
            <w:r>
              <w:rPr>
                <w:szCs w:val="24"/>
              </w:rPr>
              <w:t>≤ 100 kHz</w:t>
            </w:r>
          </w:p>
        </w:tc>
        <w:tc>
          <w:tcPr>
            <w:tcW w:w="2291" w:type="dxa"/>
          </w:tcPr>
          <w:p>
            <w:pPr>
              <w:rPr>
                <w:sz w:val="6"/>
                <w:szCs w:val="6"/>
              </w:rPr>
            </w:pPr>
          </w:p>
          <w:p>
            <w:pPr>
              <w:jc w:val="center"/>
              <w:rPr>
                <w:szCs w:val="24"/>
              </w:rPr>
            </w:pPr>
            <w:r>
              <w:rPr>
                <w:szCs w:val="24"/>
              </w:rPr>
              <w:sym w:font="Symbol" w:char="F0B1"/>
              <w:t xml:space="preserve"> 5,0 kHz</w:t>
            </w:r>
          </w:p>
        </w:tc>
      </w:tr>
      <w:tr>
        <w:trPr>
          <w:jc w:val="center"/>
        </w:trPr>
        <w:tc>
          <w:tcPr>
            <w:tcW w:w="593" w:type="dxa"/>
            <w:vMerge w:val="restart"/>
            <w:vAlign w:val="center"/>
          </w:tcPr>
          <w:p>
            <w:pPr>
              <w:jc w:val="center"/>
              <w:rPr>
                <w:szCs w:val="24"/>
              </w:rPr>
            </w:pPr>
            <w:r>
              <w:rPr>
                <w:szCs w:val="24"/>
              </w:rPr>
              <w:t>2.</w:t>
            </w:r>
          </w:p>
        </w:tc>
        <w:tc>
          <w:tcPr>
            <w:tcW w:w="3402" w:type="dxa"/>
            <w:vMerge w:val="restart"/>
            <w:vAlign w:val="center"/>
          </w:tcPr>
          <w:p>
            <w:pPr>
              <w:jc w:val="center"/>
              <w:rPr>
                <w:szCs w:val="24"/>
              </w:rPr>
            </w:pPr>
            <w:r>
              <w:rPr>
                <w:szCs w:val="24"/>
              </w:rPr>
              <w:t>Moduliavimo galia</w:t>
            </w:r>
          </w:p>
        </w:tc>
        <w:tc>
          <w:tcPr>
            <w:tcW w:w="3685" w:type="dxa"/>
          </w:tcPr>
          <w:p>
            <w:pPr>
              <w:rPr>
                <w:sz w:val="6"/>
                <w:szCs w:val="6"/>
              </w:rPr>
            </w:pPr>
          </w:p>
          <w:p>
            <w:pPr>
              <w:ind w:firstLine="62"/>
              <w:jc w:val="center"/>
              <w:rPr>
                <w:szCs w:val="24"/>
              </w:rPr>
            </w:pPr>
            <w:r>
              <w:rPr>
                <w:position w:val="-12"/>
                <w:szCs w:val="24"/>
                <w:lang w:val="en-GB"/>
              </w:rPr>
              <w:object w:dxaOrig="460" w:dyaOrig="360">
                <v:shape id="_x0000_i1031" type="#_x0000_t75" style="width:23.2pt;height:18.4pt" o:ole="">
                  <v:imagedata r:id="rId14" o:title=""/>
                </v:shape>
                <o:OLEObject Type="Embed" ProgID="Equation.3" ShapeID="_x0000_i1031" DrawAspect="Content" ObjectID="_0000000001" r:id="rId15"/>
              </w:object>
            </w:r>
            <w:r>
              <w:rPr>
                <w:szCs w:val="24"/>
              </w:rPr>
              <w:t>&lt; –2 dBr</w:t>
            </w:r>
          </w:p>
        </w:tc>
        <w:tc>
          <w:tcPr>
            <w:tcW w:w="2291" w:type="dxa"/>
            <w:vAlign w:val="center"/>
          </w:tcPr>
          <w:p>
            <w:pPr>
              <w:rPr>
                <w:sz w:val="6"/>
                <w:szCs w:val="6"/>
              </w:rPr>
            </w:pPr>
          </w:p>
          <w:p>
            <w:pPr>
              <w:jc w:val="center"/>
              <w:rPr>
                <w:szCs w:val="24"/>
              </w:rPr>
            </w:pPr>
            <w:r>
              <w:rPr>
                <w:szCs w:val="24"/>
              </w:rPr>
              <w:sym w:font="Symbol" w:char="F0B1"/>
              <w:t xml:space="preserve"> 0,4 dBr</w:t>
            </w:r>
          </w:p>
        </w:tc>
      </w:tr>
      <w:tr>
        <w:trPr>
          <w:jc w:val="center"/>
        </w:trPr>
        <w:tc>
          <w:tcPr>
            <w:tcW w:w="593" w:type="dxa"/>
            <w:vMerge/>
            <w:vAlign w:val="center"/>
          </w:tcPr>
          <w:p>
            <w:pPr>
              <w:jc w:val="center"/>
              <w:rPr>
                <w:szCs w:val="24"/>
              </w:rPr>
            </w:pPr>
          </w:p>
        </w:tc>
        <w:tc>
          <w:tcPr>
            <w:tcW w:w="3402" w:type="dxa"/>
            <w:vMerge/>
          </w:tcPr>
          <w:p>
            <w:pPr>
              <w:jc w:val="center"/>
              <w:rPr>
                <w:szCs w:val="24"/>
              </w:rPr>
            </w:pPr>
          </w:p>
        </w:tc>
        <w:tc>
          <w:tcPr>
            <w:tcW w:w="3685" w:type="dxa"/>
          </w:tcPr>
          <w:p>
            <w:pPr>
              <w:rPr>
                <w:sz w:val="6"/>
                <w:szCs w:val="6"/>
              </w:rPr>
            </w:pPr>
          </w:p>
          <w:p>
            <w:pPr>
              <w:jc w:val="center"/>
              <w:rPr>
                <w:szCs w:val="24"/>
              </w:rPr>
            </w:pPr>
            <w:r>
              <w:rPr>
                <w:szCs w:val="24"/>
              </w:rPr>
              <w:t>–2 dBr ≤</w:t>
            </w:r>
            <w:r>
              <w:rPr>
                <w:position w:val="-12"/>
                <w:szCs w:val="24"/>
                <w:lang w:val="en-GB"/>
              </w:rPr>
              <w:object w:dxaOrig="460" w:dyaOrig="360">
                <v:shape id="_x0000_i1032" type="#_x0000_t75" style="width:23.2pt;height:18.4pt" o:ole="">
                  <v:imagedata r:id="rId16" o:title=""/>
                </v:shape>
                <o:OLEObject Type="Embed" ProgID="Equation.3" ShapeID="_x0000_i1032" DrawAspect="Content" ObjectID="_0000000001" r:id="rId17"/>
              </w:object>
            </w:r>
            <w:r>
              <w:rPr>
                <w:szCs w:val="24"/>
              </w:rPr>
              <w:t>≤ +2 dBr</w:t>
            </w:r>
          </w:p>
        </w:tc>
        <w:tc>
          <w:tcPr>
            <w:tcW w:w="2291" w:type="dxa"/>
            <w:vAlign w:val="center"/>
          </w:tcPr>
          <w:p>
            <w:pPr>
              <w:rPr>
                <w:sz w:val="6"/>
                <w:szCs w:val="6"/>
              </w:rPr>
            </w:pPr>
          </w:p>
          <w:p>
            <w:pPr>
              <w:jc w:val="center"/>
              <w:rPr>
                <w:szCs w:val="24"/>
              </w:rPr>
            </w:pPr>
            <w:r>
              <w:rPr>
                <w:szCs w:val="24"/>
              </w:rPr>
              <w:sym w:font="Symbol" w:char="F0B1"/>
              <w:t xml:space="preserve"> 0,2 dBr</w:t>
            </w:r>
          </w:p>
        </w:tc>
      </w:tr>
      <w:tr>
        <w:trPr>
          <w:jc w:val="center"/>
        </w:trPr>
        <w:tc>
          <w:tcPr>
            <w:tcW w:w="593" w:type="dxa"/>
            <w:vMerge/>
            <w:vAlign w:val="center"/>
          </w:tcPr>
          <w:p>
            <w:pPr>
              <w:jc w:val="center"/>
              <w:rPr>
                <w:szCs w:val="24"/>
              </w:rPr>
            </w:pPr>
          </w:p>
        </w:tc>
        <w:tc>
          <w:tcPr>
            <w:tcW w:w="3402" w:type="dxa"/>
            <w:vMerge/>
          </w:tcPr>
          <w:p>
            <w:pPr>
              <w:jc w:val="center"/>
              <w:rPr>
                <w:szCs w:val="24"/>
              </w:rPr>
            </w:pPr>
          </w:p>
        </w:tc>
        <w:tc>
          <w:tcPr>
            <w:tcW w:w="3685" w:type="dxa"/>
          </w:tcPr>
          <w:p>
            <w:pPr>
              <w:rPr>
                <w:sz w:val="6"/>
                <w:szCs w:val="6"/>
              </w:rPr>
            </w:pPr>
          </w:p>
          <w:p>
            <w:pPr>
              <w:jc w:val="center"/>
              <w:rPr>
                <w:szCs w:val="24"/>
              </w:rPr>
            </w:pPr>
            <w:r>
              <w:rPr>
                <w:position w:val="-12"/>
                <w:szCs w:val="24"/>
                <w:lang w:val="en-GB"/>
              </w:rPr>
              <w:object w:dxaOrig="460" w:dyaOrig="360">
                <v:shape id="_x0000_i1033" type="#_x0000_t75" style="width:23.2pt;height:18.4pt" o:ole="">
                  <v:imagedata r:id="rId18" o:title=""/>
                </v:shape>
                <o:OLEObject Type="Embed" ProgID="Equation.3" ShapeID="_x0000_i1033" DrawAspect="Content" ObjectID="_0000000001" r:id="rId19"/>
              </w:object>
            </w:r>
            <w:r>
              <w:rPr>
                <w:szCs w:val="24"/>
              </w:rPr>
              <w:t>&gt; 2 dBr</w:t>
            </w:r>
          </w:p>
        </w:tc>
        <w:tc>
          <w:tcPr>
            <w:tcW w:w="2291" w:type="dxa"/>
            <w:vAlign w:val="center"/>
          </w:tcPr>
          <w:p>
            <w:pPr>
              <w:rPr>
                <w:sz w:val="6"/>
                <w:szCs w:val="6"/>
              </w:rPr>
            </w:pPr>
          </w:p>
          <w:p>
            <w:pPr>
              <w:jc w:val="center"/>
              <w:rPr>
                <w:szCs w:val="24"/>
              </w:rPr>
            </w:pPr>
            <w:r>
              <w:rPr>
                <w:szCs w:val="24"/>
              </w:rPr>
              <w:sym w:font="Symbol" w:char="F0B1"/>
              <w:t xml:space="preserve"> 0,4 dBr</w:t>
            </w:r>
          </w:p>
        </w:tc>
      </w:tr>
    </w:tbl>
    <w:p>
      <w:pPr>
        <w:tabs>
          <w:tab w:val="left" w:pos="1080"/>
        </w:tabs>
        <w:jc w:val="center"/>
        <w:outlineLvl w:val="2"/>
        <w:rPr>
          <w:kern w:val="28"/>
          <w:szCs w:val="24"/>
        </w:rPr>
      </w:pPr>
    </w:p>
    <w:p>
      <w:pPr>
        <w:tabs>
          <w:tab w:val="left" w:pos="1080"/>
        </w:tabs>
        <w:jc w:val="center"/>
        <w:outlineLvl w:val="2"/>
        <w:rPr>
          <w:szCs w:val="24"/>
          <w:lang w:eastAsia="lt-LT"/>
        </w:rPr>
      </w:pPr>
      <w:r>
        <w:rPr>
          <w:kern w:val="28"/>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
      <w:pPr>
        <w:tabs>
          <w:tab w:val="left" w:pos="1080"/>
        </w:tabs>
        <w:ind w:left="5245"/>
        <w:outlineLvl w:val="2"/>
      </w:pPr>
      <w:r>
        <w:br w:type="page"/>
      </w:r>
    </w:p>
    <w:p>
      <w:pPr>
        <w:tabs>
          <w:tab w:val="left" w:pos="1080"/>
        </w:tabs>
        <w:ind w:left="5245"/>
        <w:outlineLvl w:val="2"/>
        <w:rPr>
          <w:kern w:val="28"/>
          <w:szCs w:val="24"/>
        </w:rPr>
      </w:pPr>
      <w:r>
        <w:rPr>
          <w:kern w:val="28"/>
          <w:szCs w:val="24"/>
        </w:rPr>
        <w:t>Dažninės moduliacijos radijo transliavimo stočių radijo dažnio nuokrypio ir moduliavimo galios matavimo radijo stebėsenos stotyse taisyklių</w:t>
      </w:r>
    </w:p>
    <w:p>
      <w:pPr>
        <w:tabs>
          <w:tab w:val="left" w:pos="1080"/>
        </w:tabs>
        <w:ind w:left="5245"/>
        <w:outlineLvl w:val="2"/>
        <w:rPr>
          <w:rFonts w:cs="Arial Unicode MS"/>
          <w:kern w:val="28"/>
          <w:sz w:val="20"/>
        </w:rPr>
      </w:pPr>
      <w:r>
        <w:rPr>
          <w:kern w:val="28"/>
          <w:szCs w:val="24"/>
        </w:rPr>
        <w:t>3</w:t>
      </w:r>
      <w:r>
        <w:rPr>
          <w:kern w:val="28"/>
          <w:szCs w:val="24"/>
        </w:rPr>
        <w:t xml:space="preserve"> priedas</w:t>
      </w:r>
    </w:p>
    <w:p>
      <w:pPr>
        <w:rPr>
          <w:sz w:val="42"/>
          <w:szCs w:val="42"/>
        </w:rPr>
      </w:pPr>
    </w:p>
    <w:p>
      <w:pPr>
        <w:tabs>
          <w:tab w:val="left" w:pos="1080"/>
        </w:tabs>
        <w:jc w:val="center"/>
        <w:outlineLvl w:val="2"/>
        <w:rPr>
          <w:b/>
          <w:kern w:val="28"/>
          <w:szCs w:val="24"/>
        </w:rPr>
      </w:pPr>
      <w:r>
        <w:rPr>
          <w:b/>
          <w:kern w:val="28"/>
          <w:szCs w:val="24"/>
        </w:rPr>
        <w:t>RADIJO DAŽNIO NUOKRYPIO MATAVIMO REZULTATŲ VERTINIMAS</w:t>
      </w:r>
    </w:p>
    <w:p>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470"/>
        <w:gridCol w:w="4821"/>
        <w:gridCol w:w="2426"/>
      </w:tblGrid>
      <w:tr>
        <w:trPr>
          <w:trHeight w:val="1134"/>
        </w:trPr>
        <w:tc>
          <w:tcPr>
            <w:tcW w:w="0" w:type="auto"/>
            <w:vAlign w:val="center"/>
          </w:tcPr>
          <w:p>
            <w:pPr>
              <w:jc w:val="center"/>
              <w:rPr>
                <w:b/>
                <w:szCs w:val="24"/>
                <w:lang w:eastAsia="lt-LT"/>
              </w:rPr>
            </w:pPr>
            <w:r>
              <w:rPr>
                <w:b/>
                <w:szCs w:val="24"/>
                <w:lang w:eastAsia="lt-LT"/>
              </w:rPr>
              <w:t>Eil.</w:t>
            </w:r>
          </w:p>
          <w:p>
            <w:pPr>
              <w:jc w:val="center"/>
              <w:rPr>
                <w:b/>
                <w:szCs w:val="24"/>
                <w:lang w:eastAsia="lt-LT"/>
              </w:rPr>
            </w:pPr>
            <w:r>
              <w:rPr>
                <w:b/>
                <w:szCs w:val="24"/>
                <w:lang w:eastAsia="lt-LT"/>
              </w:rPr>
              <w:t>Nr.</w:t>
            </w:r>
          </w:p>
        </w:tc>
        <w:tc>
          <w:tcPr>
            <w:tcW w:w="0" w:type="auto"/>
            <w:shd w:val="clear" w:color="auto" w:fill="auto"/>
            <w:vAlign w:val="center"/>
          </w:tcPr>
          <w:p>
            <w:pPr>
              <w:jc w:val="center"/>
              <w:rPr>
                <w:b/>
                <w:szCs w:val="24"/>
                <w:lang w:eastAsia="lt-LT"/>
              </w:rPr>
            </w:pPr>
            <w:r>
              <w:rPr>
                <w:b/>
                <w:szCs w:val="24"/>
                <w:lang w:eastAsia="lt-LT"/>
              </w:rPr>
              <w:t>Matavimo Nr.</w:t>
            </w:r>
          </w:p>
        </w:tc>
        <w:tc>
          <w:tcPr>
            <w:tcW w:w="0" w:type="auto"/>
            <w:shd w:val="clear" w:color="auto" w:fill="auto"/>
            <w:vAlign w:val="center"/>
          </w:tcPr>
          <w:p>
            <w:pPr>
              <w:jc w:val="center"/>
              <w:rPr>
                <w:b/>
                <w:szCs w:val="24"/>
                <w:lang w:eastAsia="lt-LT"/>
              </w:rPr>
            </w:pPr>
            <w:r>
              <w:rPr>
                <w:b/>
                <w:szCs w:val="24"/>
                <w:lang w:eastAsia="lt-LT"/>
              </w:rPr>
              <w:t>Matavimo rezultatas</w:t>
            </w:r>
          </w:p>
        </w:tc>
        <w:tc>
          <w:tcPr>
            <w:tcW w:w="0" w:type="auto"/>
            <w:shd w:val="clear" w:color="auto" w:fill="auto"/>
            <w:vAlign w:val="center"/>
          </w:tcPr>
          <w:p>
            <w:pPr>
              <w:jc w:val="center"/>
              <w:rPr>
                <w:b/>
                <w:szCs w:val="24"/>
                <w:lang w:eastAsia="lt-LT"/>
              </w:rPr>
            </w:pPr>
            <w:r>
              <w:rPr>
                <w:b/>
                <w:szCs w:val="24"/>
                <w:lang w:eastAsia="lt-LT"/>
              </w:rPr>
              <w:t xml:space="preserve">Matavimo rezultato įvertinimas </w:t>
            </w:r>
          </w:p>
          <w:p>
            <w:pPr>
              <w:jc w:val="center"/>
              <w:rPr>
                <w:b/>
                <w:szCs w:val="24"/>
                <w:lang w:eastAsia="lt-LT"/>
              </w:rPr>
            </w:pPr>
            <w:r>
              <w:rPr>
                <w:b/>
                <w:szCs w:val="24"/>
                <w:lang w:eastAsia="lt-LT"/>
              </w:rPr>
              <w:t>arba tolesni veiksmai</w:t>
            </w:r>
          </w:p>
        </w:tc>
      </w:tr>
      <w:tr>
        <w:trPr>
          <w:trHeight w:val="794"/>
        </w:trPr>
        <w:tc>
          <w:tcPr>
            <w:tcW w:w="0" w:type="auto"/>
            <w:vAlign w:val="center"/>
          </w:tcPr>
          <w:p>
            <w:pPr>
              <w:jc w:val="center"/>
              <w:rPr>
                <w:szCs w:val="24"/>
                <w:lang w:eastAsia="lt-LT"/>
              </w:rPr>
            </w:pPr>
            <w:r>
              <w:rPr>
                <w:szCs w:val="24"/>
                <w:lang w:eastAsia="lt-LT"/>
              </w:rPr>
              <w:t>1.</w:t>
            </w:r>
          </w:p>
        </w:tc>
        <w:tc>
          <w:tcPr>
            <w:tcW w:w="0" w:type="auto"/>
            <w:vMerge w:val="restart"/>
            <w:shd w:val="clear" w:color="auto" w:fill="auto"/>
            <w:vAlign w:val="center"/>
          </w:tcPr>
          <w:p>
            <w:pPr>
              <w:jc w:val="center"/>
              <w:rPr>
                <w:szCs w:val="24"/>
                <w:lang w:eastAsia="lt-LT"/>
              </w:rPr>
            </w:pPr>
            <w:r>
              <w:rPr>
                <w:szCs w:val="24"/>
                <w:lang w:eastAsia="lt-LT"/>
              </w:rPr>
              <w:t>I</w:t>
            </w:r>
          </w:p>
        </w:tc>
        <w:tc>
          <w:tcPr>
            <w:tcW w:w="0" w:type="auto"/>
            <w:shd w:val="clear" w:color="auto" w:fill="auto"/>
            <w:vAlign w:val="center"/>
          </w:tcPr>
          <w:p>
            <w:pPr>
              <w:jc w:val="center"/>
              <w:rPr>
                <w:szCs w:val="24"/>
                <w:lang w:eastAsia="lt-LT"/>
              </w:rPr>
            </w:pPr>
            <w:r>
              <w:rPr>
                <w:szCs w:val="24"/>
                <w:lang w:eastAsia="lt-LT"/>
              </w:rPr>
              <w:t>Radijo dažnio nuokrypio ribinės vertės</w:t>
            </w:r>
            <w:r>
              <w:rPr>
                <w:szCs w:val="24"/>
                <w:vertAlign w:val="superscript"/>
                <w:lang w:eastAsia="lt-LT"/>
              </w:rPr>
              <w:t>1</w:t>
            </w:r>
            <w:r>
              <w:rPr>
                <w:szCs w:val="24"/>
                <w:lang w:eastAsia="lt-LT"/>
              </w:rPr>
              <w:t xml:space="preserve"> viršijimo santykinis laikas </w:t>
            </w:r>
            <m:oMath>
              <m:r>
                <m:rPr>
                  <m:sty m:val="p"/>
                </m:rPr>
                <w:rPr>
                  <w:rFonts w:ascii="Cambria Math" w:hAnsi="Cambria Math"/>
                  <w:lang w:eastAsia="lt-LT"/>
                </w:rPr>
                <m:t>τ≤0,3*</m:t>
              </m:r>
              <m:sSup>
                <m:sSupPr>
                  <m:ctrlPr>
                    <w:rPr>
                      <w:rFonts w:ascii="Cambria Math" w:hAnsi="Cambria Math"/>
                      <w:lang w:eastAsia="lt-LT"/>
                    </w:rPr>
                  </m:ctrlPr>
                </m:sSupPr>
                <m:e>
                  <m:r>
                    <w:rPr>
                      <w:rFonts w:ascii="Cambria Math" w:hAnsi="Cambria Math"/>
                      <w:lang w:eastAsia="lt-LT"/>
                    </w:rPr>
                    <m:t>10</m:t>
                  </m:r>
                </m:e>
                <m:sup>
                  <m:r>
                    <w:rPr>
                      <w:rFonts w:ascii="Cambria Math" w:hAnsi="Cambria Math"/>
                      <w:lang w:eastAsia="lt-LT"/>
                    </w:rPr>
                    <m:t>-4</m:t>
                  </m:r>
                </m:sup>
              </m:sSup>
              <m:r>
                <w:rPr>
                  <w:rFonts w:ascii="Cambria Math" w:hAnsi="Cambria Math"/>
                  <w:lang w:eastAsia="lt-LT"/>
                </w:rPr>
                <m:t>%</m:t>
              </m:r>
            </m:oMath>
          </w:p>
        </w:tc>
        <w:tc>
          <w:tcPr>
            <w:tcW w:w="0" w:type="auto"/>
            <w:shd w:val="clear" w:color="auto" w:fill="auto"/>
            <w:vAlign w:val="center"/>
          </w:tcPr>
          <w:p>
            <w:pPr>
              <w:jc w:val="center"/>
              <w:rPr>
                <w:szCs w:val="24"/>
                <w:lang w:eastAsia="lt-LT"/>
              </w:rPr>
            </w:pPr>
            <w:r>
              <w:rPr>
                <w:szCs w:val="24"/>
                <w:lang w:eastAsia="lt-LT"/>
              </w:rPr>
              <w:t>Neviršija leistinos ribos</w:t>
            </w:r>
          </w:p>
        </w:tc>
      </w:tr>
      <w:tr>
        <w:trPr>
          <w:trHeight w:val="851"/>
        </w:trPr>
        <w:tc>
          <w:tcPr>
            <w:tcW w:w="0" w:type="auto"/>
            <w:vAlign w:val="center"/>
          </w:tcPr>
          <w:p>
            <w:pPr>
              <w:jc w:val="center"/>
              <w:rPr>
                <w:szCs w:val="24"/>
                <w:lang w:eastAsia="lt-LT"/>
              </w:rPr>
            </w:pPr>
            <w:r>
              <w:rPr>
                <w:szCs w:val="24"/>
                <w:lang w:eastAsia="lt-LT"/>
              </w:rPr>
              <w:t>2.</w:t>
            </w:r>
          </w:p>
        </w:tc>
        <w:tc>
          <w:tcPr>
            <w:tcW w:w="0" w:type="auto"/>
            <w:vMerge/>
            <w:shd w:val="clear" w:color="auto" w:fill="auto"/>
            <w:vAlign w:val="center"/>
          </w:tcPr>
          <w:p>
            <w:pPr>
              <w:jc w:val="center"/>
              <w:rPr>
                <w:szCs w:val="24"/>
                <w:lang w:eastAsia="lt-LT"/>
              </w:rPr>
            </w:pPr>
          </w:p>
        </w:tc>
        <w:tc>
          <w:tcPr>
            <w:tcW w:w="0" w:type="auto"/>
            <w:shd w:val="clear" w:color="auto" w:fill="auto"/>
            <w:vAlign w:val="center"/>
          </w:tcPr>
          <w:p>
            <w:pPr>
              <w:jc w:val="center"/>
              <w:rPr>
                <w:szCs w:val="24"/>
                <w:lang w:eastAsia="lt-LT"/>
              </w:rPr>
            </w:pPr>
            <m:oMathPara>
              <m:oMath>
                <m:r>
                  <m:rPr>
                    <m:sty m:val="p"/>
                  </m:rPr>
                  <w:rPr>
                    <w:rFonts w:ascii="Cambria Math" w:hAnsi="Cambria Math"/>
                    <w:lang w:eastAsia="lt-LT"/>
                  </w:rPr>
                  <m:t>τ&gt;</m:t>
                </m:r>
                <m:sSup>
                  <m:sSupPr>
                    <m:ctrlPr>
                      <w:rPr>
                        <w:rFonts w:ascii="Cambria Math" w:hAnsi="Cambria Math"/>
                        <w:lang w:eastAsia="lt-LT"/>
                      </w:rPr>
                    </m:ctrlPr>
                  </m:sSupPr>
                  <m:e>
                    <m:r>
                      <w:rPr>
                        <w:rFonts w:ascii="Cambria Math" w:hAnsi="Cambria Math"/>
                        <w:lang w:eastAsia="lt-LT"/>
                      </w:rPr>
                      <m:t>10</m:t>
                    </m:r>
                  </m:e>
                  <m:sup>
                    <m:r>
                      <w:rPr>
                        <w:rFonts w:ascii="Cambria Math" w:hAnsi="Cambria Math"/>
                        <w:lang w:eastAsia="lt-LT"/>
                      </w:rPr>
                      <m:t>-4</m:t>
                    </m:r>
                  </m:sup>
                </m:sSup>
                <m:r>
                  <w:rPr>
                    <w:rFonts w:ascii="Cambria Math" w:hAnsi="Cambria Math"/>
                    <w:lang w:eastAsia="lt-LT"/>
                  </w:rPr>
                  <m:t>%</m:t>
                </m:r>
              </m:oMath>
            </m:oMathPara>
          </w:p>
        </w:tc>
        <w:tc>
          <w:tcPr>
            <w:tcW w:w="0" w:type="auto"/>
            <w:shd w:val="clear" w:color="auto" w:fill="auto"/>
            <w:vAlign w:val="center"/>
          </w:tcPr>
          <w:p>
            <w:pPr>
              <w:jc w:val="center"/>
              <w:rPr>
                <w:szCs w:val="24"/>
                <w:lang w:eastAsia="lt-LT"/>
              </w:rPr>
            </w:pPr>
            <w:r>
              <w:rPr>
                <w:szCs w:val="24"/>
                <w:lang w:eastAsia="lt-LT"/>
              </w:rPr>
              <w:t>Viršija leistiną ribą</w:t>
            </w:r>
          </w:p>
        </w:tc>
      </w:tr>
      <w:tr>
        <w:trPr>
          <w:trHeight w:val="851"/>
        </w:trPr>
        <w:tc>
          <w:tcPr>
            <w:tcW w:w="0" w:type="auto"/>
            <w:vAlign w:val="center"/>
          </w:tcPr>
          <w:p>
            <w:pPr>
              <w:jc w:val="center"/>
              <w:rPr>
                <w:szCs w:val="24"/>
                <w:lang w:eastAsia="lt-LT"/>
              </w:rPr>
            </w:pPr>
            <w:r>
              <w:rPr>
                <w:szCs w:val="24"/>
                <w:lang w:eastAsia="lt-LT"/>
              </w:rPr>
              <w:t>3.</w:t>
            </w:r>
          </w:p>
        </w:tc>
        <w:tc>
          <w:tcPr>
            <w:tcW w:w="0" w:type="auto"/>
            <w:vMerge/>
            <w:shd w:val="clear" w:color="auto" w:fill="auto"/>
            <w:vAlign w:val="center"/>
          </w:tcPr>
          <w:p>
            <w:pPr>
              <w:jc w:val="center"/>
              <w:rPr>
                <w:szCs w:val="24"/>
                <w:lang w:eastAsia="lt-LT"/>
              </w:rPr>
            </w:pPr>
          </w:p>
        </w:tc>
        <w:tc>
          <w:tcPr>
            <w:tcW w:w="0" w:type="auto"/>
            <w:shd w:val="clear" w:color="auto" w:fill="auto"/>
            <w:vAlign w:val="center"/>
          </w:tcPr>
          <w:p>
            <w:pPr>
              <w:jc w:val="center"/>
              <w:rPr>
                <w:szCs w:val="24"/>
                <w:lang w:eastAsia="lt-LT"/>
              </w:rPr>
            </w:pPr>
            <m:oMathPara>
              <m:oMath>
                <m:r>
                  <w:rPr>
                    <w:rFonts w:ascii="Cambria Math" w:hAnsi="Cambria Math"/>
                    <w:lang w:eastAsia="lt-LT"/>
                  </w:rPr>
                  <m:t>0,3*</m:t>
                </m:r>
                <m:sSup>
                  <m:sSupPr>
                    <m:ctrlPr>
                      <w:rPr>
                        <w:rFonts w:ascii="Cambria Math" w:hAnsi="Cambria Math"/>
                        <w:i/>
                        <w:lang w:eastAsia="lt-LT"/>
                      </w:rPr>
                    </m:ctrlPr>
                  </m:sSupPr>
                  <m:e>
                    <m:r>
                      <w:rPr>
                        <w:rFonts w:ascii="Cambria Math" w:hAnsi="Cambria Math"/>
                        <w:lang w:eastAsia="lt-LT"/>
                      </w:rPr>
                      <m:t>10</m:t>
                    </m:r>
                  </m:e>
                  <m:sup>
                    <m:r>
                      <w:rPr>
                        <w:rFonts w:ascii="Cambria Math" w:hAnsi="Cambria Math"/>
                        <w:lang w:eastAsia="lt-LT"/>
                      </w:rPr>
                      <m:t>-4</m:t>
                    </m:r>
                  </m:sup>
                </m:sSup>
                <m:r>
                  <w:rPr>
                    <w:rFonts w:ascii="Cambria Math" w:hAnsi="Cambria Math"/>
                    <w:lang w:eastAsia="lt-LT"/>
                  </w:rPr>
                  <m:t>%&lt;</m:t>
                </m:r>
                <m:r>
                  <m:rPr>
                    <m:sty m:val="p"/>
                  </m:rPr>
                  <w:rPr>
                    <w:rFonts w:ascii="Cambria Math" w:hAnsi="Cambria Math"/>
                    <w:lang w:eastAsia="lt-LT"/>
                  </w:rPr>
                  <m:t>τ≤</m:t>
                </m:r>
                <m:sSup>
                  <m:sSupPr>
                    <m:ctrlPr>
                      <w:rPr>
                        <w:rFonts w:ascii="Cambria Math" w:hAnsi="Cambria Math"/>
                        <w:lang w:eastAsia="lt-LT"/>
                      </w:rPr>
                    </m:ctrlPr>
                  </m:sSupPr>
                  <m:e>
                    <m:r>
                      <w:rPr>
                        <w:rFonts w:ascii="Cambria Math" w:hAnsi="Cambria Math"/>
                        <w:lang w:eastAsia="lt-LT"/>
                      </w:rPr>
                      <m:t>10</m:t>
                    </m:r>
                  </m:e>
                  <m:sup>
                    <m:r>
                      <w:rPr>
                        <w:rFonts w:ascii="Cambria Math" w:hAnsi="Cambria Math"/>
                        <w:lang w:eastAsia="lt-LT"/>
                      </w:rPr>
                      <m:t>-4</m:t>
                    </m:r>
                  </m:sup>
                </m:sSup>
                <m:r>
                  <w:rPr>
                    <w:rFonts w:ascii="Cambria Math" w:hAnsi="Cambria Math"/>
                    <w:lang w:eastAsia="lt-LT"/>
                  </w:rPr>
                  <m:t>%</m:t>
                </m:r>
              </m:oMath>
            </m:oMathPara>
          </w:p>
        </w:tc>
        <w:tc>
          <w:tcPr>
            <w:tcW w:w="0" w:type="auto"/>
            <w:shd w:val="clear" w:color="auto" w:fill="auto"/>
            <w:vAlign w:val="center"/>
          </w:tcPr>
          <w:p>
            <w:pPr>
              <w:jc w:val="center"/>
              <w:rPr>
                <w:szCs w:val="24"/>
                <w:lang w:eastAsia="lt-LT"/>
              </w:rPr>
            </w:pPr>
            <w:r>
              <w:rPr>
                <w:szCs w:val="24"/>
                <w:lang w:eastAsia="lt-LT"/>
              </w:rPr>
              <w:t>Atlikti II matavimą</w:t>
            </w:r>
          </w:p>
        </w:tc>
      </w:tr>
      <w:tr>
        <w:trPr>
          <w:trHeight w:val="851"/>
        </w:trPr>
        <w:tc>
          <w:tcPr>
            <w:tcW w:w="0" w:type="auto"/>
            <w:vAlign w:val="center"/>
          </w:tcPr>
          <w:p>
            <w:pPr>
              <w:jc w:val="center"/>
              <w:rPr>
                <w:szCs w:val="24"/>
                <w:lang w:eastAsia="lt-LT"/>
              </w:rPr>
            </w:pPr>
            <w:r>
              <w:rPr>
                <w:szCs w:val="24"/>
                <w:lang w:eastAsia="lt-LT"/>
              </w:rPr>
              <w:t>4.</w:t>
            </w:r>
          </w:p>
        </w:tc>
        <w:tc>
          <w:tcPr>
            <w:tcW w:w="0" w:type="auto"/>
            <w:vMerge w:val="restart"/>
            <w:shd w:val="clear" w:color="auto" w:fill="auto"/>
            <w:vAlign w:val="center"/>
          </w:tcPr>
          <w:p>
            <w:pPr>
              <w:jc w:val="center"/>
              <w:rPr>
                <w:szCs w:val="24"/>
                <w:lang w:eastAsia="lt-LT"/>
              </w:rPr>
            </w:pPr>
            <w:r>
              <w:rPr>
                <w:szCs w:val="24"/>
                <w:lang w:eastAsia="lt-LT"/>
              </w:rPr>
              <w:t>II</w:t>
            </w:r>
          </w:p>
        </w:tc>
        <w:tc>
          <w:tcPr>
            <w:tcW w:w="0" w:type="auto"/>
            <w:shd w:val="clear" w:color="auto" w:fill="auto"/>
            <w:vAlign w:val="center"/>
          </w:tcPr>
          <w:p>
            <w:pPr>
              <w:ind w:firstLine="62"/>
              <w:jc w:val="center"/>
              <w:rPr>
                <w:szCs w:val="24"/>
                <w:lang w:eastAsia="lt-LT"/>
              </w:rPr>
            </w:pPr>
            <m:oMathPara>
              <m:oMath>
                <m:r>
                  <m:rPr>
                    <m:sty m:val="p"/>
                  </m:rPr>
                  <w:rPr>
                    <w:rFonts w:ascii="Cambria Math" w:hAnsi="Cambria Math"/>
                    <w:lang w:eastAsia="lt-LT"/>
                  </w:rPr>
                  <m:t>τ≤</m:t>
                </m:r>
                <m:sSup>
                  <m:sSupPr>
                    <m:ctrlPr>
                      <w:rPr>
                        <w:rFonts w:ascii="Cambria Math" w:hAnsi="Cambria Math"/>
                        <w:lang w:eastAsia="lt-LT"/>
                      </w:rPr>
                    </m:ctrlPr>
                  </m:sSupPr>
                  <m:e>
                    <m:r>
                      <w:rPr>
                        <w:rFonts w:ascii="Cambria Math" w:hAnsi="Cambria Math"/>
                        <w:lang w:eastAsia="lt-LT"/>
                      </w:rPr>
                      <m:t>10</m:t>
                    </m:r>
                  </m:e>
                  <m:sup>
                    <m:r>
                      <w:rPr>
                        <w:rFonts w:ascii="Cambria Math" w:hAnsi="Cambria Math"/>
                        <w:lang w:eastAsia="lt-LT"/>
                      </w:rPr>
                      <m:t>-4</m:t>
                    </m:r>
                  </m:sup>
                </m:sSup>
                <m:r>
                  <w:rPr>
                    <w:rFonts w:ascii="Cambria Math" w:hAnsi="Cambria Math"/>
                    <w:lang w:eastAsia="lt-LT"/>
                  </w:rPr>
                  <m:t>%</m:t>
                </m:r>
              </m:oMath>
            </m:oMathPara>
          </w:p>
        </w:tc>
        <w:tc>
          <w:tcPr>
            <w:tcW w:w="0" w:type="auto"/>
            <w:shd w:val="clear" w:color="auto" w:fill="auto"/>
            <w:vAlign w:val="center"/>
          </w:tcPr>
          <w:p>
            <w:pPr>
              <w:jc w:val="center"/>
              <w:rPr>
                <w:szCs w:val="24"/>
                <w:lang w:eastAsia="lt-LT"/>
              </w:rPr>
            </w:pPr>
            <w:r>
              <w:rPr>
                <w:szCs w:val="24"/>
                <w:lang w:eastAsia="lt-LT"/>
              </w:rPr>
              <w:t>Neviršija leistinos ribos</w:t>
            </w:r>
          </w:p>
        </w:tc>
      </w:tr>
      <w:tr>
        <w:trPr>
          <w:trHeight w:val="851"/>
        </w:trPr>
        <w:tc>
          <w:tcPr>
            <w:tcW w:w="0" w:type="auto"/>
            <w:vAlign w:val="center"/>
          </w:tcPr>
          <w:p>
            <w:pPr>
              <w:jc w:val="center"/>
              <w:rPr>
                <w:szCs w:val="24"/>
                <w:lang w:eastAsia="lt-LT"/>
              </w:rPr>
            </w:pPr>
            <w:r>
              <w:rPr>
                <w:szCs w:val="24"/>
                <w:lang w:eastAsia="lt-LT"/>
              </w:rPr>
              <w:t>5.</w:t>
            </w:r>
          </w:p>
        </w:tc>
        <w:tc>
          <w:tcPr>
            <w:tcW w:w="0" w:type="auto"/>
            <w:vMerge/>
            <w:shd w:val="clear" w:color="auto" w:fill="auto"/>
            <w:vAlign w:val="center"/>
          </w:tcPr>
          <w:p>
            <w:pPr>
              <w:jc w:val="center"/>
              <w:rPr>
                <w:szCs w:val="24"/>
                <w:lang w:eastAsia="lt-LT"/>
              </w:rPr>
            </w:pPr>
          </w:p>
        </w:tc>
        <w:tc>
          <w:tcPr>
            <w:tcW w:w="0" w:type="auto"/>
            <w:shd w:val="clear" w:color="auto" w:fill="auto"/>
            <w:vAlign w:val="center"/>
          </w:tcPr>
          <w:p>
            <w:pPr>
              <w:jc w:val="center"/>
              <w:rPr>
                <w:szCs w:val="24"/>
                <w:lang w:eastAsia="lt-LT"/>
              </w:rPr>
            </w:pPr>
            <m:oMathPara>
              <m:oMath>
                <m:r>
                  <m:rPr>
                    <m:sty m:val="p"/>
                  </m:rPr>
                  <w:rPr>
                    <w:rFonts w:ascii="Cambria Math" w:hAnsi="Cambria Math"/>
                    <w:lang w:eastAsia="lt-LT"/>
                  </w:rPr>
                  <m:t>τ&gt;</m:t>
                </m:r>
                <m:sSup>
                  <m:sSupPr>
                    <m:ctrlPr>
                      <w:rPr>
                        <w:rFonts w:ascii="Cambria Math" w:hAnsi="Cambria Math"/>
                        <w:lang w:eastAsia="lt-LT"/>
                      </w:rPr>
                    </m:ctrlPr>
                  </m:sSupPr>
                  <m:e>
                    <m:r>
                      <w:rPr>
                        <w:rFonts w:ascii="Cambria Math" w:hAnsi="Cambria Math"/>
                        <w:lang w:eastAsia="lt-LT"/>
                      </w:rPr>
                      <m:t>10</m:t>
                    </m:r>
                  </m:e>
                  <m:sup>
                    <m:r>
                      <w:rPr>
                        <w:rFonts w:ascii="Cambria Math" w:hAnsi="Cambria Math"/>
                        <w:lang w:eastAsia="lt-LT"/>
                      </w:rPr>
                      <m:t>-4</m:t>
                    </m:r>
                  </m:sup>
                </m:sSup>
                <m:r>
                  <w:rPr>
                    <w:rFonts w:ascii="Cambria Math" w:hAnsi="Cambria Math"/>
                    <w:lang w:eastAsia="lt-LT"/>
                  </w:rPr>
                  <m:t>%</m:t>
                </m:r>
              </m:oMath>
            </m:oMathPara>
          </w:p>
        </w:tc>
        <w:tc>
          <w:tcPr>
            <w:tcW w:w="0" w:type="auto"/>
            <w:shd w:val="clear" w:color="auto" w:fill="auto"/>
            <w:vAlign w:val="center"/>
          </w:tcPr>
          <w:p>
            <w:pPr>
              <w:jc w:val="center"/>
              <w:rPr>
                <w:szCs w:val="24"/>
                <w:lang w:eastAsia="lt-LT"/>
              </w:rPr>
            </w:pPr>
            <w:r>
              <w:rPr>
                <w:szCs w:val="24"/>
                <w:lang w:eastAsia="lt-LT"/>
              </w:rPr>
              <w:t>Viršija leistiną ribą</w:t>
            </w:r>
          </w:p>
        </w:tc>
      </w:tr>
    </w:tbl>
    <w:p>
      <w:pPr>
        <w:rPr>
          <w:sz w:val="10"/>
          <w:szCs w:val="10"/>
        </w:rPr>
      </w:pPr>
    </w:p>
    <w:p>
      <w:pPr>
        <w:tabs>
          <w:tab w:val="left" w:pos="1080"/>
        </w:tabs>
        <w:jc w:val="both"/>
        <w:outlineLvl w:val="2"/>
        <w:rPr>
          <w:kern w:val="28"/>
          <w:szCs w:val="24"/>
        </w:rPr>
      </w:pPr>
      <w:r>
        <w:rPr>
          <w:kern w:val="28"/>
          <w:szCs w:val="24"/>
          <w:vertAlign w:val="superscript"/>
          <w:lang w:eastAsia="lt-LT"/>
        </w:rPr>
        <w:t>1</w:t>
      </w:r>
      <w:r>
        <w:rPr>
          <w:kern w:val="28"/>
          <w:szCs w:val="24"/>
          <w:lang w:eastAsia="lt-LT"/>
        </w:rPr>
        <w:t xml:space="preserve"> Radijo dažnio nuokrypio ribinė vertė lygi leistino radijo dažnio didžiausio nuokrypio ir radijo dažnio nuokrypio matavimo paklaidos modulio sumai.</w:t>
      </w:r>
    </w:p>
    <w:p>
      <w:pPr>
        <w:rPr>
          <w:sz w:val="32"/>
          <w:szCs w:val="32"/>
        </w:rPr>
      </w:pPr>
    </w:p>
    <w:p>
      <w:pPr>
        <w:tabs>
          <w:tab w:val="left" w:pos="1080"/>
        </w:tabs>
        <w:jc w:val="center"/>
        <w:outlineLvl w:val="2"/>
        <w:rPr>
          <w:szCs w:val="24"/>
          <w:lang w:eastAsia="lt-LT"/>
        </w:rPr>
      </w:pPr>
      <w:r>
        <w:rPr>
          <w:kern w:val="28"/>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
      <w:pPr>
        <w:tabs>
          <w:tab w:val="left" w:pos="1080"/>
        </w:tabs>
        <w:ind w:left="5245"/>
        <w:outlineLvl w:val="2"/>
      </w:pPr>
      <w:r>
        <w:br w:type="page"/>
      </w:r>
    </w:p>
    <w:p>
      <w:pPr>
        <w:tabs>
          <w:tab w:val="left" w:pos="1080"/>
        </w:tabs>
        <w:ind w:left="5245"/>
        <w:outlineLvl w:val="2"/>
        <w:rPr>
          <w:kern w:val="28"/>
          <w:szCs w:val="24"/>
        </w:rPr>
      </w:pPr>
      <w:r>
        <w:rPr>
          <w:kern w:val="28"/>
          <w:szCs w:val="24"/>
        </w:rPr>
        <w:t>Dažninės moduliacijos radijo transliavimo stočių radijo dažnio nuokrypio ir moduliavimo galios matavimo radijo stebėsenos stotyse taisyklių</w:t>
      </w:r>
    </w:p>
    <w:p>
      <w:pPr>
        <w:tabs>
          <w:tab w:val="left" w:pos="1080"/>
        </w:tabs>
        <w:ind w:left="5245"/>
        <w:outlineLvl w:val="2"/>
        <w:rPr>
          <w:rFonts w:cs="Arial Unicode MS"/>
          <w:kern w:val="28"/>
          <w:szCs w:val="24"/>
        </w:rPr>
      </w:pPr>
      <w:r>
        <w:rPr>
          <w:kern w:val="28"/>
          <w:szCs w:val="24"/>
        </w:rPr>
        <w:t>4</w:t>
      </w:r>
      <w:r>
        <w:rPr>
          <w:kern w:val="28"/>
          <w:szCs w:val="24"/>
        </w:rPr>
        <w:t xml:space="preserve"> priedas</w:t>
      </w:r>
    </w:p>
    <w:p>
      <w:pPr>
        <w:rPr>
          <w:sz w:val="42"/>
          <w:szCs w:val="42"/>
        </w:rPr>
      </w:pPr>
    </w:p>
    <w:p>
      <w:pPr>
        <w:tabs>
          <w:tab w:val="left" w:pos="1080"/>
        </w:tabs>
        <w:jc w:val="center"/>
        <w:outlineLvl w:val="2"/>
        <w:rPr>
          <w:b/>
          <w:kern w:val="28"/>
          <w:szCs w:val="24"/>
        </w:rPr>
      </w:pPr>
      <w:r>
        <w:rPr>
          <w:b/>
          <w:kern w:val="28"/>
          <w:szCs w:val="24"/>
        </w:rPr>
        <w:t>MODULIAVIMO GALIOS MATAVIMO REZULTATŲ VERTINIMAS</w:t>
      </w:r>
    </w:p>
    <w:p>
      <w:pPr>
        <w:rPr>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5245"/>
        <w:gridCol w:w="2693"/>
      </w:tblGrid>
      <w:tr>
        <w:trPr>
          <w:trHeight w:val="1134"/>
        </w:trPr>
        <w:tc>
          <w:tcPr>
            <w:tcW w:w="709" w:type="dxa"/>
            <w:vAlign w:val="center"/>
          </w:tcPr>
          <w:p>
            <w:pPr>
              <w:jc w:val="center"/>
              <w:rPr>
                <w:b/>
                <w:szCs w:val="24"/>
                <w:lang w:eastAsia="lt-LT"/>
              </w:rPr>
            </w:pPr>
            <w:r>
              <w:rPr>
                <w:b/>
                <w:szCs w:val="24"/>
                <w:lang w:eastAsia="lt-LT"/>
              </w:rPr>
              <w:t>Eil.</w:t>
            </w:r>
          </w:p>
          <w:p>
            <w:pPr>
              <w:jc w:val="center"/>
              <w:rPr>
                <w:b/>
                <w:szCs w:val="24"/>
                <w:lang w:eastAsia="lt-LT"/>
              </w:rPr>
            </w:pPr>
            <w:r>
              <w:rPr>
                <w:b/>
                <w:szCs w:val="24"/>
                <w:lang w:eastAsia="lt-LT"/>
              </w:rPr>
              <w:t>Nr.</w:t>
            </w:r>
          </w:p>
        </w:tc>
        <w:tc>
          <w:tcPr>
            <w:tcW w:w="1276" w:type="dxa"/>
            <w:shd w:val="clear" w:color="auto" w:fill="auto"/>
            <w:vAlign w:val="center"/>
          </w:tcPr>
          <w:p>
            <w:pPr>
              <w:jc w:val="center"/>
              <w:rPr>
                <w:b/>
                <w:szCs w:val="24"/>
                <w:lang w:eastAsia="lt-LT"/>
              </w:rPr>
            </w:pPr>
            <w:r>
              <w:rPr>
                <w:b/>
                <w:szCs w:val="24"/>
                <w:lang w:eastAsia="lt-LT"/>
              </w:rPr>
              <w:t>Matavimo Nr.</w:t>
            </w:r>
          </w:p>
        </w:tc>
        <w:tc>
          <w:tcPr>
            <w:tcW w:w="5245" w:type="dxa"/>
            <w:shd w:val="clear" w:color="auto" w:fill="auto"/>
            <w:vAlign w:val="center"/>
          </w:tcPr>
          <w:p>
            <w:pPr>
              <w:jc w:val="center"/>
              <w:rPr>
                <w:b/>
                <w:szCs w:val="24"/>
                <w:lang w:eastAsia="lt-LT"/>
              </w:rPr>
            </w:pPr>
            <w:r>
              <w:rPr>
                <w:b/>
                <w:szCs w:val="24"/>
                <w:lang w:eastAsia="lt-LT"/>
              </w:rPr>
              <w:t>Matavimo rezultatas</w:t>
            </w:r>
          </w:p>
        </w:tc>
        <w:tc>
          <w:tcPr>
            <w:tcW w:w="2693" w:type="dxa"/>
            <w:shd w:val="clear" w:color="auto" w:fill="auto"/>
            <w:vAlign w:val="center"/>
          </w:tcPr>
          <w:p>
            <w:pPr>
              <w:jc w:val="center"/>
              <w:rPr>
                <w:b/>
                <w:szCs w:val="24"/>
                <w:lang w:eastAsia="lt-LT"/>
              </w:rPr>
            </w:pPr>
            <w:r>
              <w:rPr>
                <w:b/>
                <w:szCs w:val="24"/>
                <w:lang w:eastAsia="lt-LT"/>
              </w:rPr>
              <w:t xml:space="preserve">Matavimo rezultato įvertinimas </w:t>
            </w:r>
          </w:p>
          <w:p>
            <w:pPr>
              <w:jc w:val="center"/>
              <w:rPr>
                <w:b/>
                <w:szCs w:val="24"/>
                <w:lang w:eastAsia="lt-LT"/>
              </w:rPr>
            </w:pPr>
            <w:r>
              <w:rPr>
                <w:b/>
                <w:szCs w:val="24"/>
                <w:lang w:eastAsia="lt-LT"/>
              </w:rPr>
              <w:t>arba tolesni veiksmai</w:t>
            </w:r>
          </w:p>
        </w:tc>
      </w:tr>
      <w:tr>
        <w:trPr>
          <w:trHeight w:val="794"/>
        </w:trPr>
        <w:tc>
          <w:tcPr>
            <w:tcW w:w="709" w:type="dxa"/>
            <w:vAlign w:val="center"/>
          </w:tcPr>
          <w:p>
            <w:pPr>
              <w:jc w:val="center"/>
              <w:rPr>
                <w:szCs w:val="24"/>
                <w:lang w:eastAsia="lt-LT"/>
              </w:rPr>
            </w:pPr>
            <w:r>
              <w:rPr>
                <w:szCs w:val="24"/>
                <w:lang w:eastAsia="lt-LT"/>
              </w:rPr>
              <w:t>1.</w:t>
            </w:r>
          </w:p>
        </w:tc>
        <w:tc>
          <w:tcPr>
            <w:tcW w:w="1276" w:type="dxa"/>
            <w:vMerge w:val="restart"/>
            <w:shd w:val="clear" w:color="auto" w:fill="auto"/>
            <w:vAlign w:val="center"/>
          </w:tcPr>
          <w:p>
            <w:pPr>
              <w:jc w:val="center"/>
              <w:rPr>
                <w:szCs w:val="24"/>
                <w:lang w:eastAsia="lt-LT"/>
              </w:rPr>
            </w:pPr>
            <w:r>
              <w:rPr>
                <w:szCs w:val="24"/>
                <w:lang w:eastAsia="lt-LT"/>
              </w:rPr>
              <w:t>I</w:t>
            </w:r>
          </w:p>
        </w:tc>
        <w:tc>
          <w:tcPr>
            <w:tcW w:w="5245" w:type="dxa"/>
            <w:shd w:val="clear" w:color="auto" w:fill="auto"/>
            <w:vAlign w:val="center"/>
          </w:tcPr>
          <w:p>
            <w:pPr>
              <w:jc w:val="center"/>
              <w:rPr>
                <w:szCs w:val="24"/>
                <w:lang w:eastAsia="lt-LT"/>
              </w:rPr>
            </w:pPr>
            <w:r>
              <w:rPr>
                <w:szCs w:val="24"/>
                <w:lang w:eastAsia="lt-LT"/>
              </w:rPr>
              <w:t xml:space="preserve">Moduliavimo galios maksimali vertė </w:t>
            </w:r>
          </w:p>
          <w:p>
            <w:pPr>
              <w:jc w:val="center"/>
              <w:rPr>
                <w:szCs w:val="24"/>
                <w:lang w:eastAsia="lt-LT"/>
              </w:rPr>
            </w:pPr>
            <w:r>
              <w:rPr>
                <w:i/>
                <w:szCs w:val="24"/>
                <w:lang w:eastAsia="lt-LT"/>
              </w:rPr>
              <w:t>P</w:t>
            </w:r>
            <w:r>
              <w:rPr>
                <w:i/>
                <w:szCs w:val="24"/>
                <w:vertAlign w:val="subscript"/>
                <w:lang w:eastAsia="lt-LT"/>
              </w:rPr>
              <w:t>max</w:t>
            </w:r>
            <w:r>
              <w:rPr>
                <w:szCs w:val="24"/>
                <w:lang w:eastAsia="lt-LT"/>
              </w:rPr>
              <w:t xml:space="preserve"> ≤ │∆</w:t>
            </w:r>
            <w:r>
              <w:rPr>
                <w:szCs w:val="24"/>
                <w:vertAlign w:val="superscript"/>
                <w:lang w:eastAsia="lt-LT"/>
              </w:rPr>
              <w:t>1</w:t>
            </w:r>
            <w:r>
              <w:rPr>
                <w:szCs w:val="24"/>
                <w:lang w:eastAsia="lt-LT"/>
              </w:rPr>
              <w:t>│– 0,66 dBr</w:t>
            </w:r>
          </w:p>
        </w:tc>
        <w:tc>
          <w:tcPr>
            <w:tcW w:w="2693" w:type="dxa"/>
            <w:shd w:val="clear" w:color="auto" w:fill="auto"/>
            <w:vAlign w:val="center"/>
          </w:tcPr>
          <w:p>
            <w:pPr>
              <w:jc w:val="center"/>
              <w:rPr>
                <w:szCs w:val="24"/>
                <w:lang w:eastAsia="lt-LT"/>
              </w:rPr>
            </w:pPr>
            <w:r>
              <w:rPr>
                <w:szCs w:val="24"/>
                <w:lang w:eastAsia="lt-LT"/>
              </w:rPr>
              <w:t>Neviršija leistinos ribos</w:t>
            </w:r>
          </w:p>
        </w:tc>
      </w:tr>
      <w:tr>
        <w:trPr>
          <w:trHeight w:val="851"/>
        </w:trPr>
        <w:tc>
          <w:tcPr>
            <w:tcW w:w="709" w:type="dxa"/>
            <w:vAlign w:val="center"/>
          </w:tcPr>
          <w:p>
            <w:pPr>
              <w:jc w:val="center"/>
              <w:rPr>
                <w:szCs w:val="24"/>
                <w:lang w:eastAsia="lt-LT"/>
              </w:rPr>
            </w:pPr>
            <w:r>
              <w:rPr>
                <w:szCs w:val="24"/>
                <w:lang w:eastAsia="lt-LT"/>
              </w:rPr>
              <w:t>2.</w:t>
            </w:r>
          </w:p>
        </w:tc>
        <w:tc>
          <w:tcPr>
            <w:tcW w:w="1276" w:type="dxa"/>
            <w:vMerge/>
            <w:shd w:val="clear" w:color="auto" w:fill="auto"/>
            <w:vAlign w:val="center"/>
          </w:tcPr>
          <w:p>
            <w:pPr>
              <w:jc w:val="center"/>
              <w:rPr>
                <w:szCs w:val="24"/>
                <w:lang w:eastAsia="lt-LT"/>
              </w:rPr>
            </w:pPr>
          </w:p>
        </w:tc>
        <w:tc>
          <w:tcPr>
            <w:tcW w:w="5245" w:type="dxa"/>
            <w:shd w:val="clear" w:color="auto" w:fill="auto"/>
            <w:vAlign w:val="center"/>
          </w:tcPr>
          <w:p>
            <w:pPr>
              <w:jc w:val="center"/>
              <w:rPr>
                <w:szCs w:val="24"/>
                <w:lang w:eastAsia="lt-LT"/>
              </w:rPr>
            </w:pPr>
            <w:r>
              <w:rPr>
                <w:i/>
                <w:szCs w:val="24"/>
                <w:lang w:eastAsia="lt-LT"/>
              </w:rPr>
              <w:t>P</w:t>
            </w:r>
            <w:r>
              <w:rPr>
                <w:i/>
                <w:szCs w:val="24"/>
                <w:vertAlign w:val="subscript"/>
                <w:lang w:eastAsia="lt-LT"/>
              </w:rPr>
              <w:t>max</w:t>
            </w:r>
            <w:r>
              <w:rPr>
                <w:szCs w:val="24"/>
                <w:lang w:eastAsia="lt-LT"/>
              </w:rPr>
              <w:t xml:space="preserve"> &gt; │∆│</w:t>
            </w:r>
          </w:p>
        </w:tc>
        <w:tc>
          <w:tcPr>
            <w:tcW w:w="2693" w:type="dxa"/>
            <w:shd w:val="clear" w:color="auto" w:fill="auto"/>
            <w:vAlign w:val="center"/>
          </w:tcPr>
          <w:p>
            <w:pPr>
              <w:jc w:val="center"/>
              <w:rPr>
                <w:szCs w:val="24"/>
                <w:lang w:eastAsia="lt-LT"/>
              </w:rPr>
            </w:pPr>
            <w:r>
              <w:rPr>
                <w:szCs w:val="24"/>
                <w:lang w:eastAsia="lt-LT"/>
              </w:rPr>
              <w:t>Viršija leistiną ribą</w:t>
            </w:r>
          </w:p>
        </w:tc>
      </w:tr>
      <w:tr>
        <w:trPr>
          <w:trHeight w:val="851"/>
        </w:trPr>
        <w:tc>
          <w:tcPr>
            <w:tcW w:w="709" w:type="dxa"/>
            <w:vAlign w:val="center"/>
          </w:tcPr>
          <w:p>
            <w:pPr>
              <w:jc w:val="center"/>
              <w:rPr>
                <w:szCs w:val="24"/>
                <w:lang w:eastAsia="lt-LT"/>
              </w:rPr>
            </w:pPr>
            <w:r>
              <w:rPr>
                <w:szCs w:val="24"/>
                <w:lang w:eastAsia="lt-LT"/>
              </w:rPr>
              <w:t>3.</w:t>
            </w:r>
          </w:p>
        </w:tc>
        <w:tc>
          <w:tcPr>
            <w:tcW w:w="1276" w:type="dxa"/>
            <w:vMerge/>
            <w:shd w:val="clear" w:color="auto" w:fill="auto"/>
            <w:vAlign w:val="center"/>
          </w:tcPr>
          <w:p>
            <w:pPr>
              <w:jc w:val="center"/>
              <w:rPr>
                <w:szCs w:val="24"/>
                <w:lang w:eastAsia="lt-LT"/>
              </w:rPr>
            </w:pPr>
          </w:p>
        </w:tc>
        <w:tc>
          <w:tcPr>
            <w:tcW w:w="5245" w:type="dxa"/>
            <w:shd w:val="clear" w:color="auto" w:fill="auto"/>
            <w:vAlign w:val="center"/>
          </w:tcPr>
          <w:p>
            <w:pPr>
              <w:jc w:val="center"/>
              <w:rPr>
                <w:szCs w:val="24"/>
                <w:lang w:eastAsia="lt-LT"/>
              </w:rPr>
            </w:pPr>
            <w:r>
              <w:rPr>
                <w:szCs w:val="24"/>
                <w:lang w:eastAsia="lt-LT"/>
              </w:rPr>
              <w:t xml:space="preserve">│∆│– 0,66 dBr &lt; </w:t>
            </w:r>
            <w:r>
              <w:rPr>
                <w:i/>
                <w:szCs w:val="24"/>
                <w:lang w:eastAsia="lt-LT"/>
              </w:rPr>
              <w:t xml:space="preserve"> P</w:t>
            </w:r>
            <w:r>
              <w:rPr>
                <w:i/>
                <w:szCs w:val="24"/>
                <w:vertAlign w:val="subscript"/>
                <w:lang w:eastAsia="lt-LT"/>
              </w:rPr>
              <w:t>max</w:t>
            </w:r>
            <w:r>
              <w:rPr>
                <w:rFonts w:ascii="Cambria Math" w:hAnsi="Cambria Math"/>
                <w:szCs w:val="24"/>
                <w:lang w:eastAsia="lt-LT"/>
              </w:rPr>
              <w:t xml:space="preserve"> </w:t>
            </w:r>
            <w:r>
              <w:rPr>
                <w:szCs w:val="24"/>
                <w:lang w:eastAsia="lt-LT"/>
              </w:rPr>
              <w:t xml:space="preserve"> ≤ │∆│</w:t>
            </w:r>
          </w:p>
        </w:tc>
        <w:tc>
          <w:tcPr>
            <w:tcW w:w="2693" w:type="dxa"/>
            <w:shd w:val="clear" w:color="auto" w:fill="auto"/>
            <w:vAlign w:val="center"/>
          </w:tcPr>
          <w:p>
            <w:pPr>
              <w:jc w:val="center"/>
              <w:rPr>
                <w:szCs w:val="24"/>
                <w:lang w:eastAsia="lt-LT"/>
              </w:rPr>
            </w:pPr>
            <w:r>
              <w:rPr>
                <w:szCs w:val="24"/>
                <w:lang w:eastAsia="lt-LT"/>
              </w:rPr>
              <w:t>Atlikti II matavimą</w:t>
            </w:r>
          </w:p>
        </w:tc>
      </w:tr>
      <w:tr>
        <w:trPr>
          <w:trHeight w:val="851"/>
        </w:trPr>
        <w:tc>
          <w:tcPr>
            <w:tcW w:w="709" w:type="dxa"/>
            <w:vAlign w:val="center"/>
          </w:tcPr>
          <w:p>
            <w:pPr>
              <w:jc w:val="center"/>
              <w:rPr>
                <w:szCs w:val="24"/>
                <w:lang w:eastAsia="lt-LT"/>
              </w:rPr>
            </w:pPr>
            <w:r>
              <w:rPr>
                <w:szCs w:val="24"/>
                <w:lang w:eastAsia="lt-LT"/>
              </w:rPr>
              <w:t>4.</w:t>
            </w:r>
          </w:p>
        </w:tc>
        <w:tc>
          <w:tcPr>
            <w:tcW w:w="1276" w:type="dxa"/>
            <w:vMerge w:val="restart"/>
            <w:shd w:val="clear" w:color="auto" w:fill="auto"/>
            <w:vAlign w:val="center"/>
          </w:tcPr>
          <w:p>
            <w:pPr>
              <w:jc w:val="center"/>
              <w:rPr>
                <w:szCs w:val="24"/>
                <w:lang w:eastAsia="lt-LT"/>
              </w:rPr>
            </w:pPr>
            <w:r>
              <w:rPr>
                <w:szCs w:val="24"/>
                <w:lang w:eastAsia="lt-LT"/>
              </w:rPr>
              <w:t>II</w:t>
            </w:r>
          </w:p>
        </w:tc>
        <w:tc>
          <w:tcPr>
            <w:tcW w:w="5245" w:type="dxa"/>
            <w:shd w:val="clear" w:color="auto" w:fill="auto"/>
            <w:vAlign w:val="center"/>
          </w:tcPr>
          <w:p>
            <w:pPr>
              <w:ind w:firstLine="62"/>
              <w:jc w:val="center"/>
              <w:rPr>
                <w:szCs w:val="24"/>
                <w:lang w:eastAsia="lt-LT"/>
              </w:rPr>
            </w:pPr>
            <w:r>
              <w:rPr>
                <w:i/>
                <w:szCs w:val="24"/>
                <w:lang w:eastAsia="lt-LT"/>
              </w:rPr>
              <w:t>P</w:t>
            </w:r>
            <w:r>
              <w:rPr>
                <w:i/>
                <w:szCs w:val="24"/>
                <w:vertAlign w:val="subscript"/>
                <w:lang w:eastAsia="lt-LT"/>
              </w:rPr>
              <w:t>max</w:t>
            </w:r>
            <w:r>
              <w:rPr>
                <w:rFonts w:ascii="Cambria Math" w:hAnsi="Cambria Math"/>
                <w:szCs w:val="24"/>
                <w:lang w:eastAsia="lt-LT"/>
              </w:rPr>
              <w:t xml:space="preserve"> </w:t>
            </w:r>
            <w:r>
              <w:rPr>
                <w:szCs w:val="24"/>
                <w:lang w:eastAsia="lt-LT"/>
              </w:rPr>
              <w:t xml:space="preserve"> ≤ │∆│ </w:t>
            </w:r>
          </w:p>
        </w:tc>
        <w:tc>
          <w:tcPr>
            <w:tcW w:w="2693" w:type="dxa"/>
            <w:shd w:val="clear" w:color="auto" w:fill="auto"/>
            <w:vAlign w:val="center"/>
          </w:tcPr>
          <w:p>
            <w:pPr>
              <w:jc w:val="center"/>
              <w:rPr>
                <w:szCs w:val="24"/>
                <w:lang w:eastAsia="lt-LT"/>
              </w:rPr>
            </w:pPr>
            <w:r>
              <w:rPr>
                <w:szCs w:val="24"/>
                <w:lang w:eastAsia="lt-LT"/>
              </w:rPr>
              <w:t>Neviršija leistinos ribos</w:t>
            </w:r>
          </w:p>
        </w:tc>
      </w:tr>
      <w:tr>
        <w:trPr>
          <w:trHeight w:val="851"/>
        </w:trPr>
        <w:tc>
          <w:tcPr>
            <w:tcW w:w="709" w:type="dxa"/>
            <w:vAlign w:val="center"/>
          </w:tcPr>
          <w:p>
            <w:pPr>
              <w:jc w:val="center"/>
              <w:rPr>
                <w:szCs w:val="24"/>
                <w:lang w:eastAsia="lt-LT"/>
              </w:rPr>
            </w:pPr>
            <w:r>
              <w:rPr>
                <w:szCs w:val="24"/>
                <w:lang w:eastAsia="lt-LT"/>
              </w:rPr>
              <w:t>5.</w:t>
            </w:r>
          </w:p>
        </w:tc>
        <w:tc>
          <w:tcPr>
            <w:tcW w:w="1276" w:type="dxa"/>
            <w:vMerge/>
            <w:shd w:val="clear" w:color="auto" w:fill="auto"/>
            <w:vAlign w:val="center"/>
          </w:tcPr>
          <w:p>
            <w:pPr>
              <w:jc w:val="center"/>
              <w:rPr>
                <w:szCs w:val="24"/>
                <w:lang w:eastAsia="lt-LT"/>
              </w:rPr>
            </w:pPr>
          </w:p>
        </w:tc>
        <w:tc>
          <w:tcPr>
            <w:tcW w:w="5245" w:type="dxa"/>
            <w:shd w:val="clear" w:color="auto" w:fill="auto"/>
            <w:vAlign w:val="center"/>
          </w:tcPr>
          <w:p>
            <w:pPr>
              <w:jc w:val="center"/>
              <w:rPr>
                <w:szCs w:val="24"/>
                <w:lang w:eastAsia="lt-LT"/>
              </w:rPr>
            </w:pPr>
            <w:r>
              <w:rPr>
                <w:i/>
                <w:szCs w:val="24"/>
                <w:lang w:eastAsia="lt-LT"/>
              </w:rPr>
              <w:t>P</w:t>
            </w:r>
            <w:r>
              <w:rPr>
                <w:i/>
                <w:szCs w:val="24"/>
                <w:vertAlign w:val="subscript"/>
                <w:lang w:eastAsia="lt-LT"/>
              </w:rPr>
              <w:t>max</w:t>
            </w:r>
            <w:r>
              <w:rPr>
                <w:szCs w:val="24"/>
                <w:lang w:eastAsia="lt-LT"/>
              </w:rPr>
              <w:t xml:space="preserve"> &gt; │∆│</w:t>
            </w:r>
          </w:p>
        </w:tc>
        <w:tc>
          <w:tcPr>
            <w:tcW w:w="2693" w:type="dxa"/>
            <w:shd w:val="clear" w:color="auto" w:fill="auto"/>
            <w:vAlign w:val="center"/>
          </w:tcPr>
          <w:p>
            <w:pPr>
              <w:jc w:val="center"/>
              <w:rPr>
                <w:szCs w:val="24"/>
                <w:lang w:eastAsia="lt-LT"/>
              </w:rPr>
            </w:pPr>
            <w:r>
              <w:rPr>
                <w:szCs w:val="24"/>
                <w:lang w:eastAsia="lt-LT"/>
              </w:rPr>
              <w:t>Viršija leistiną ribą</w:t>
            </w:r>
          </w:p>
        </w:tc>
      </w:tr>
    </w:tbl>
    <w:p>
      <w:pPr>
        <w:rPr>
          <w:sz w:val="10"/>
          <w:szCs w:val="10"/>
        </w:rPr>
      </w:pPr>
    </w:p>
    <w:p>
      <w:pPr>
        <w:rPr>
          <w:szCs w:val="24"/>
          <w:lang w:eastAsia="lt-LT"/>
        </w:rPr>
      </w:pPr>
      <w:r>
        <w:rPr>
          <w:szCs w:val="24"/>
          <w:vertAlign w:val="superscript"/>
          <w:lang w:eastAsia="lt-LT"/>
        </w:rPr>
        <w:t>1</w:t>
      </w:r>
      <w:r>
        <w:rPr>
          <w:szCs w:val="24"/>
          <w:lang w:eastAsia="lt-LT"/>
        </w:rPr>
        <w:t xml:space="preserve"> ∆ – prietaiso matavimo paklaida.</w:t>
      </w:r>
    </w:p>
    <w:p>
      <w:pPr>
        <w:tabs>
          <w:tab w:val="left" w:pos="1080"/>
        </w:tabs>
        <w:jc w:val="center"/>
        <w:outlineLvl w:val="2"/>
        <w:rPr>
          <w:szCs w:val="24"/>
          <w:lang w:eastAsia="lt-LT"/>
        </w:rPr>
      </w:pPr>
      <w:r>
        <w:rPr>
          <w:kern w:val="28"/>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
      <w:pPr>
        <w:tabs>
          <w:tab w:val="left" w:pos="1080"/>
        </w:tabs>
        <w:ind w:left="5245"/>
        <w:outlineLvl w:val="2"/>
      </w:pPr>
      <w:r>
        <w:br w:type="page"/>
      </w:r>
    </w:p>
    <w:p>
      <w:pPr>
        <w:tabs>
          <w:tab w:val="left" w:pos="1080"/>
        </w:tabs>
        <w:ind w:left="5245"/>
        <w:outlineLvl w:val="2"/>
        <w:rPr>
          <w:kern w:val="28"/>
          <w:szCs w:val="24"/>
        </w:rPr>
      </w:pPr>
      <w:r>
        <w:rPr>
          <w:kern w:val="28"/>
          <w:szCs w:val="24"/>
        </w:rPr>
        <w:t>Dažninės moduliacijos radijo transliavimo stočių radijo dažnio nuokrypio ir moduliavimo galios matavimo radijo stebėsenos stotyse taisyklių</w:t>
      </w:r>
    </w:p>
    <w:p>
      <w:pPr>
        <w:tabs>
          <w:tab w:val="left" w:pos="1080"/>
        </w:tabs>
        <w:ind w:left="5245"/>
        <w:outlineLvl w:val="2"/>
        <w:rPr>
          <w:kern w:val="28"/>
          <w:szCs w:val="24"/>
        </w:rPr>
      </w:pPr>
      <w:r>
        <w:rPr>
          <w:kern w:val="28"/>
          <w:szCs w:val="24"/>
        </w:rPr>
        <w:t>5</w:t>
      </w:r>
      <w:r>
        <w:rPr>
          <w:kern w:val="28"/>
          <w:szCs w:val="24"/>
        </w:rPr>
        <w:t xml:space="preserve"> priedas</w:t>
      </w:r>
    </w:p>
    <w:p>
      <w:pPr>
        <w:tabs>
          <w:tab w:val="left" w:pos="1080"/>
        </w:tabs>
        <w:ind w:left="5245"/>
        <w:outlineLvl w:val="2"/>
        <w:rPr>
          <w:rFonts w:cs="Arial Unicode MS"/>
          <w:kern w:val="28"/>
          <w:szCs w:val="24"/>
        </w:rPr>
      </w:pPr>
    </w:p>
    <w:p>
      <w:pPr>
        <w:rPr>
          <w:sz w:val="10"/>
          <w:szCs w:val="10"/>
        </w:rPr>
      </w:pPr>
    </w:p>
    <w:p>
      <w:pPr>
        <w:keepNext/>
        <w:ind w:firstLine="57"/>
        <w:jc w:val="center"/>
        <w:rPr>
          <w:b/>
          <w:bCs/>
          <w:szCs w:val="24"/>
        </w:rPr>
      </w:pPr>
      <w:r>
        <w:rPr>
          <w:b/>
          <w:bCs/>
          <w:szCs w:val="24"/>
        </w:rPr>
        <w:t>(Dažninės moduliacijos radijo transliavimo stoties radijo dažnio nuokrypio ir moduliavimo galios matavimo protokolo forma)</w:t>
      </w:r>
    </w:p>
    <w:p>
      <w:pPr>
        <w:rPr>
          <w:sz w:val="20"/>
        </w:rPr>
      </w:pPr>
    </w:p>
    <w:tbl>
      <w:tblPr>
        <w:tblW w:w="10065" w:type="dxa"/>
        <w:tblInd w:w="-284" w:type="dxa"/>
        <w:tblLayout w:type="fixed"/>
        <w:tblCellMar>
          <w:left w:w="0" w:type="dxa"/>
          <w:right w:w="0" w:type="dxa"/>
        </w:tblCellMar>
        <w:tblLook w:val="0000" w:firstRow="0" w:lastRow="0" w:firstColumn="0" w:lastColumn="0" w:noHBand="0" w:noVBand="0"/>
      </w:tblPr>
      <w:tblGrid>
        <w:gridCol w:w="23"/>
        <w:gridCol w:w="1631"/>
        <w:gridCol w:w="282"/>
        <w:gridCol w:w="423"/>
        <w:gridCol w:w="824"/>
        <w:gridCol w:w="214"/>
        <w:gridCol w:w="71"/>
        <w:gridCol w:w="114"/>
        <w:gridCol w:w="440"/>
        <w:gridCol w:w="282"/>
        <w:gridCol w:w="30"/>
        <w:gridCol w:w="383"/>
        <w:gridCol w:w="283"/>
        <w:gridCol w:w="283"/>
        <w:gridCol w:w="680"/>
        <w:gridCol w:w="566"/>
        <w:gridCol w:w="853"/>
        <w:gridCol w:w="169"/>
        <w:gridCol w:w="119"/>
        <w:gridCol w:w="560"/>
        <w:gridCol w:w="166"/>
        <w:gridCol w:w="296"/>
        <w:gridCol w:w="1236"/>
        <w:gridCol w:w="137"/>
      </w:tblGrid>
      <w:tr>
        <w:trPr>
          <w:cantSplit/>
          <w:trHeight w:val="852"/>
        </w:trPr>
        <w:tc>
          <w:tcPr>
            <w:tcW w:w="3470" w:type="dxa"/>
            <w:gridSpan w:val="6"/>
            <w:vAlign w:val="center"/>
          </w:tcPr>
          <w:p>
            <w:pPr>
              <w:jc w:val="right"/>
              <w:rPr>
                <w:rFonts w:eastAsia="Arial Unicode MS"/>
                <w:b/>
                <w:bCs/>
                <w:sz w:val="20"/>
                <w:szCs w:val="24"/>
              </w:rPr>
            </w:pPr>
            <w:r>
              <w:rPr>
                <w:rFonts w:eastAsia="Arial Unicode MS"/>
                <w:b/>
                <w:bCs/>
                <w:sz w:val="20"/>
                <w:szCs w:val="24"/>
                <w:lang w:eastAsia="lt-LT"/>
              </w:rPr>
              <w:drawing>
                <wp:inline distT="0" distB="0" distL="0" distR="0">
                  <wp:extent cx="765881" cy="36166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0">
                            <a:extLst>
                              <a:ext uri="{28A0092B-C50C-407E-A947-70E740481C1C}">
                                <a14:useLocalDpi xmlns:a14="http://schemas.microsoft.com/office/drawing/2010/main" val="0"/>
                              </a:ext>
                            </a:extLst>
                          </a:blip>
                          <a:stretch>
                            <a:fillRect/>
                          </a:stretch>
                        </pic:blipFill>
                        <pic:spPr>
                          <a:xfrm>
                            <a:off x="0" y="0"/>
                            <a:ext cx="775243" cy="366087"/>
                          </a:xfrm>
                          <a:prstGeom prst="rect">
                            <a:avLst/>
                          </a:prstGeom>
                        </pic:spPr>
                      </pic:pic>
                    </a:graphicData>
                  </a:graphic>
                </wp:inline>
              </w:drawing>
            </w:r>
          </w:p>
        </w:tc>
        <w:tc>
          <w:tcPr>
            <w:tcW w:w="4864" w:type="dxa"/>
            <w:gridSpan w:val="14"/>
            <w:vAlign w:val="center"/>
          </w:tcPr>
          <w:p>
            <w:pPr>
              <w:ind w:left="113"/>
              <w:rPr>
                <w:rFonts w:eastAsia="Arial Unicode MS"/>
                <w:b/>
                <w:bCs/>
                <w:szCs w:val="24"/>
              </w:rPr>
            </w:pPr>
            <w:r>
              <w:rPr>
                <w:rFonts w:eastAsia="Arial Unicode MS"/>
                <w:b/>
                <w:bCs/>
                <w:szCs w:val="24"/>
              </w:rPr>
              <w:t>LIETUVOS RESPUBLIKOS</w:t>
            </w:r>
          </w:p>
          <w:p>
            <w:pPr>
              <w:ind w:left="113"/>
              <w:rPr>
                <w:rFonts w:eastAsia="Arial Unicode MS"/>
                <w:szCs w:val="24"/>
              </w:rPr>
            </w:pPr>
            <w:r>
              <w:rPr>
                <w:b/>
                <w:bCs/>
                <w:szCs w:val="24"/>
              </w:rPr>
              <w:t>RYŠIŲ REGULIAVIMO TARNYBA</w:t>
            </w:r>
          </w:p>
        </w:tc>
        <w:tc>
          <w:tcPr>
            <w:tcW w:w="1731" w:type="dxa"/>
            <w:gridSpan w:val="4"/>
            <w:vAlign w:val="center"/>
          </w:tcPr>
          <w:p>
            <w:pPr>
              <w:jc w:val="center"/>
              <w:rPr>
                <w:rFonts w:eastAsia="Arial Unicode MS"/>
                <w:szCs w:val="24"/>
              </w:rPr>
            </w:pPr>
          </w:p>
        </w:tc>
      </w:tr>
      <w:tr>
        <w:trPr>
          <w:cantSplit/>
          <w:trHeight w:val="852"/>
        </w:trPr>
        <w:tc>
          <w:tcPr>
            <w:tcW w:w="10065" w:type="dxa"/>
            <w:gridSpan w:val="24"/>
            <w:vAlign w:val="center"/>
          </w:tcPr>
          <w:p>
            <w:pPr>
              <w:rPr>
                <w:sz w:val="6"/>
                <w:szCs w:val="6"/>
              </w:rPr>
            </w:pPr>
          </w:p>
          <w:p>
            <w:pPr>
              <w:keepNext/>
              <w:jc w:val="center"/>
              <w:rPr>
                <w:b/>
                <w:bCs/>
                <w:szCs w:val="24"/>
              </w:rPr>
            </w:pPr>
            <w:r>
              <w:rPr>
                <w:b/>
                <w:bCs/>
                <w:szCs w:val="24"/>
              </w:rPr>
              <w:t>DAŽNINĖS MODULIACIJOS RADIJO TRANSLIAVIMO STOTIES RADIJO DAŽNIO NUOKRYPIO IR MODULIAVIMO GALIOS MATAVIMO PROTOKOLAS</w:t>
            </w:r>
          </w:p>
          <w:p>
            <w:pPr>
              <w:rPr>
                <w:sz w:val="10"/>
                <w:szCs w:val="10"/>
              </w:rPr>
            </w:pPr>
          </w:p>
          <w:p>
            <w:pPr>
              <w:jc w:val="center"/>
              <w:rPr>
                <w:rFonts w:eastAsia="Arial Unicode MS"/>
                <w:szCs w:val="24"/>
              </w:rPr>
            </w:pPr>
            <w:r>
              <w:rPr>
                <w:bCs/>
                <w:sz w:val="22"/>
                <w:szCs w:val="22"/>
              </w:rPr>
              <w:t xml:space="preserve">20     -    -    Nr. (    .    )     -</w:t>
            </w:r>
          </w:p>
        </w:tc>
      </w:tr>
      <w:tr>
        <w:trPr>
          <w:cantSplit/>
        </w:trPr>
        <w:tc>
          <w:tcPr>
            <w:tcW w:w="3659" w:type="dxa"/>
            <w:gridSpan w:val="8"/>
            <w:vAlign w:val="center"/>
          </w:tcPr>
          <w:p>
            <w:pPr>
              <w:rPr>
                <w:sz w:val="10"/>
                <w:szCs w:val="10"/>
              </w:rPr>
            </w:pPr>
          </w:p>
          <w:p>
            <w:pPr>
              <w:keepNext/>
              <w:jc w:val="center"/>
              <w:rPr>
                <w:b/>
                <w:bCs/>
                <w:szCs w:val="24"/>
              </w:rPr>
            </w:pPr>
          </w:p>
        </w:tc>
        <w:tc>
          <w:tcPr>
            <w:tcW w:w="2974" w:type="dxa"/>
            <w:gridSpan w:val="8"/>
            <w:tcBorders>
              <w:bottom w:val="dotted" w:sz="4" w:space="0" w:color="A6A6A6" w:themeColor="background1" w:themeShade="A6"/>
            </w:tcBorders>
            <w:vAlign w:val="bottom"/>
          </w:tcPr>
          <w:p>
            <w:pPr>
              <w:rPr>
                <w:sz w:val="4"/>
                <w:szCs w:val="4"/>
              </w:rPr>
            </w:pPr>
          </w:p>
          <w:p>
            <w:pPr>
              <w:keepNext/>
              <w:jc w:val="center"/>
              <w:rPr>
                <w:bCs/>
                <w:sz w:val="22"/>
                <w:szCs w:val="22"/>
              </w:rPr>
            </w:pPr>
          </w:p>
        </w:tc>
        <w:tc>
          <w:tcPr>
            <w:tcW w:w="3432" w:type="dxa"/>
            <w:gridSpan w:val="8"/>
            <w:vAlign w:val="center"/>
          </w:tcPr>
          <w:p>
            <w:pPr>
              <w:rPr>
                <w:sz w:val="10"/>
                <w:szCs w:val="10"/>
              </w:rPr>
            </w:pPr>
          </w:p>
          <w:p>
            <w:pPr>
              <w:keepNext/>
              <w:jc w:val="center"/>
              <w:rPr>
                <w:b/>
                <w:bCs/>
                <w:szCs w:val="24"/>
              </w:rPr>
            </w:pPr>
          </w:p>
        </w:tc>
      </w:tr>
      <w:tr>
        <w:trPr>
          <w:cantSplit/>
        </w:trPr>
        <w:tc>
          <w:tcPr>
            <w:tcW w:w="3659" w:type="dxa"/>
            <w:gridSpan w:val="8"/>
            <w:vAlign w:val="center"/>
          </w:tcPr>
          <w:p>
            <w:pPr>
              <w:keepNext/>
              <w:jc w:val="center"/>
              <w:rPr>
                <w:bCs/>
                <w:sz w:val="16"/>
                <w:szCs w:val="16"/>
              </w:rPr>
            </w:pPr>
          </w:p>
        </w:tc>
        <w:tc>
          <w:tcPr>
            <w:tcW w:w="2974" w:type="dxa"/>
            <w:gridSpan w:val="8"/>
            <w:vAlign w:val="center"/>
          </w:tcPr>
          <w:p>
            <w:pPr>
              <w:keepNext/>
              <w:jc w:val="center"/>
              <w:rPr>
                <w:bCs/>
                <w:sz w:val="16"/>
                <w:szCs w:val="16"/>
              </w:rPr>
            </w:pPr>
            <w:r>
              <w:rPr>
                <w:bCs/>
                <w:sz w:val="16"/>
                <w:szCs w:val="16"/>
              </w:rPr>
              <w:t>(sudarymo vieta)</w:t>
            </w:r>
          </w:p>
        </w:tc>
        <w:tc>
          <w:tcPr>
            <w:tcW w:w="3432" w:type="dxa"/>
            <w:gridSpan w:val="8"/>
            <w:vAlign w:val="center"/>
          </w:tcPr>
          <w:p>
            <w:pPr>
              <w:keepNext/>
              <w:jc w:val="center"/>
              <w:rPr>
                <w:bCs/>
                <w:sz w:val="16"/>
                <w:szCs w:val="16"/>
              </w:rPr>
            </w:pPr>
          </w:p>
        </w:tc>
      </w:tr>
      <w:tr>
        <w:tblPrEx>
          <w:tblCellMar>
            <w:left w:w="108" w:type="dxa"/>
            <w:right w:w="108" w:type="dxa"/>
          </w:tblCellMar>
          <w:tblLook w:val="00A0" w:firstRow="1" w:lastRow="0" w:firstColumn="1" w:lastColumn="0" w:noHBand="0" w:noVBand="0"/>
        </w:tblPrEx>
        <w:trPr>
          <w:gridBefore w:val="1"/>
          <w:wBefore w:w="24" w:type="dxa"/>
        </w:trPr>
        <w:tc>
          <w:tcPr>
            <w:tcW w:w="6043" w:type="dxa"/>
            <w:gridSpan w:val="14"/>
            <w:shd w:val="clear" w:color="auto" w:fill="auto"/>
            <w:vAlign w:val="center"/>
          </w:tcPr>
          <w:p>
            <w:pPr>
              <w:rPr>
                <w:rFonts w:ascii="Times New Roman Bold" w:hAnsi="Times New Roman Bold"/>
                <w:spacing w:val="6"/>
                <w:sz w:val="20"/>
              </w:rPr>
            </w:pPr>
            <w:r>
              <w:rPr>
                <w:rFonts w:ascii="Times New Roman Bold" w:hAnsi="Times New Roman Bold"/>
                <w:b/>
                <w:spacing w:val="6"/>
                <w:sz w:val="20"/>
              </w:rPr>
              <w:t xml:space="preserve">1. </w:t>
            </w:r>
            <w:r>
              <w:rPr>
                <w:rFonts w:ascii="Times New Roman Bold" w:hAnsi="Times New Roman Bold"/>
                <w:b/>
                <w:caps/>
                <w:spacing w:val="6"/>
                <w:sz w:val="20"/>
              </w:rPr>
              <w:t>radijo dažnio naudotojas</w:t>
            </w:r>
          </w:p>
        </w:tc>
        <w:tc>
          <w:tcPr>
            <w:tcW w:w="3998" w:type="dxa"/>
            <w:gridSpan w:val="9"/>
            <w:shd w:val="clear" w:color="auto" w:fill="auto"/>
            <w:vAlign w:val="center"/>
          </w:tcPr>
          <w:p>
            <w:pPr>
              <w:rPr>
                <w:sz w:val="4"/>
                <w:szCs w:val="4"/>
              </w:rPr>
            </w:pPr>
          </w:p>
          <w:p>
            <w:pPr>
              <w:jc w:val="center"/>
              <w:rPr>
                <w:sz w:val="20"/>
              </w:rPr>
            </w:pPr>
          </w:p>
        </w:tc>
      </w:tr>
      <w:tr>
        <w:tblPrEx>
          <w:tblCellMar>
            <w:left w:w="108" w:type="dxa"/>
            <w:right w:w="108" w:type="dxa"/>
          </w:tblCellMar>
          <w:tblLook w:val="00A0" w:firstRow="1" w:lastRow="0" w:firstColumn="1" w:lastColumn="0" w:noHBand="0" w:noVBand="0"/>
        </w:tblPrEx>
        <w:trPr>
          <w:gridBefore w:val="1"/>
          <w:wBefore w:w="24" w:type="dxa"/>
        </w:trPr>
        <w:tc>
          <w:tcPr>
            <w:tcW w:w="10041" w:type="dxa"/>
            <w:gridSpan w:val="23"/>
            <w:tcBorders>
              <w:bottom w:val="dotted" w:sz="4" w:space="0" w:color="A6A6A6" w:themeColor="background1" w:themeShade="A6"/>
            </w:tcBorders>
            <w:shd w:val="clear" w:color="auto" w:fill="auto"/>
            <w:vAlign w:val="center"/>
          </w:tcPr>
          <w:p>
            <w:pPr>
              <w:rPr>
                <w:sz w:val="4"/>
                <w:szCs w:val="4"/>
              </w:rPr>
            </w:pPr>
          </w:p>
          <w:p>
            <w:pPr>
              <w:jc w:val="center"/>
              <w:rPr>
                <w:sz w:val="20"/>
              </w:rPr>
            </w:pPr>
          </w:p>
        </w:tc>
      </w:tr>
      <w:tr>
        <w:tblPrEx>
          <w:tblCellMar>
            <w:left w:w="108" w:type="dxa"/>
            <w:right w:w="108" w:type="dxa"/>
          </w:tblCellMar>
          <w:tblLook w:val="00A0" w:firstRow="1" w:lastRow="0" w:firstColumn="1" w:lastColumn="0" w:noHBand="0" w:noVBand="0"/>
        </w:tblPrEx>
        <w:trPr>
          <w:gridBefore w:val="1"/>
          <w:wBefore w:w="24" w:type="dxa"/>
        </w:trPr>
        <w:tc>
          <w:tcPr>
            <w:tcW w:w="10041" w:type="dxa"/>
            <w:gridSpan w:val="23"/>
            <w:tcBorders>
              <w:top w:val="dotted" w:sz="4" w:space="0" w:color="A6A6A6" w:themeColor="background1" w:themeShade="A6"/>
            </w:tcBorders>
            <w:shd w:val="clear" w:color="auto" w:fill="auto"/>
          </w:tcPr>
          <w:p>
            <w:pPr>
              <w:jc w:val="center"/>
              <w:rPr>
                <w:sz w:val="16"/>
                <w:szCs w:val="16"/>
              </w:rPr>
            </w:pPr>
            <w:r>
              <w:rPr>
                <w:sz w:val="16"/>
                <w:szCs w:val="16"/>
              </w:rPr>
              <w:t>(juridinio asmens teisinė forma ir pavadinimas arba fizinio asmens vardas ir pavardė)</w:t>
            </w:r>
          </w:p>
        </w:tc>
      </w:tr>
      <w:tr>
        <w:tblPrEx>
          <w:tblCellMar>
            <w:left w:w="108" w:type="dxa"/>
            <w:right w:w="108" w:type="dxa"/>
          </w:tblCellMar>
          <w:tblLook w:val="00A0" w:firstRow="1" w:lastRow="0" w:firstColumn="1" w:lastColumn="0" w:noHBand="0" w:noVBand="0"/>
        </w:tblPrEx>
        <w:trPr>
          <w:gridBefore w:val="1"/>
          <w:wBefore w:w="24" w:type="dxa"/>
        </w:trPr>
        <w:tc>
          <w:tcPr>
            <w:tcW w:w="10041" w:type="dxa"/>
            <w:gridSpan w:val="23"/>
            <w:shd w:val="clear" w:color="auto" w:fill="auto"/>
            <w:vAlign w:val="center"/>
          </w:tcPr>
          <w:p>
            <w:pPr>
              <w:rPr>
                <w:sz w:val="6"/>
                <w:szCs w:val="6"/>
              </w:rPr>
            </w:pPr>
          </w:p>
          <w:p>
            <w:pPr>
              <w:rPr>
                <w:rFonts w:ascii="Times New Roman Bold" w:hAnsi="Times New Roman Bold"/>
                <w:b/>
                <w:caps/>
                <w:spacing w:val="6"/>
                <w:sz w:val="20"/>
              </w:rPr>
            </w:pPr>
            <w:r>
              <w:rPr>
                <w:rFonts w:ascii="Times New Roman Bold" w:hAnsi="Times New Roman Bold"/>
                <w:b/>
                <w:spacing w:val="6"/>
                <w:sz w:val="20"/>
              </w:rPr>
              <w:t xml:space="preserve">2. </w:t>
            </w:r>
            <w:r>
              <w:rPr>
                <w:rFonts w:ascii="Times New Roman Bold" w:hAnsi="Times New Roman Bold"/>
                <w:b/>
                <w:caps/>
                <w:spacing w:val="6"/>
                <w:sz w:val="20"/>
              </w:rPr>
              <w:t>LEIDIMAS NAUDOTI RADIJO DAŽNIUS (KANALUS)</w:t>
            </w:r>
          </w:p>
        </w:tc>
      </w:tr>
      <w:tr>
        <w:tblPrEx>
          <w:tblCellMar>
            <w:left w:w="108" w:type="dxa"/>
            <w:right w:w="108" w:type="dxa"/>
          </w:tblCellMar>
          <w:tblLook w:val="00A0" w:firstRow="1" w:lastRow="0" w:firstColumn="1" w:lastColumn="0" w:noHBand="0" w:noVBand="0"/>
        </w:tblPrEx>
        <w:trPr>
          <w:gridBefore w:val="1"/>
          <w:wBefore w:w="24" w:type="dxa"/>
        </w:trPr>
        <w:tc>
          <w:tcPr>
            <w:tcW w:w="1672" w:type="dxa"/>
            <w:tcBorders>
              <w:bottom w:val="dotted" w:sz="4" w:space="0" w:color="A6A6A6" w:themeColor="background1" w:themeShade="A6"/>
            </w:tcBorders>
            <w:shd w:val="clear" w:color="auto" w:fill="auto"/>
          </w:tcPr>
          <w:p>
            <w:pPr>
              <w:rPr>
                <w:sz w:val="4"/>
                <w:szCs w:val="4"/>
              </w:rPr>
            </w:pPr>
          </w:p>
          <w:p>
            <w:pPr>
              <w:jc w:val="center"/>
              <w:rPr>
                <w:sz w:val="20"/>
              </w:rPr>
            </w:pPr>
          </w:p>
        </w:tc>
        <w:tc>
          <w:tcPr>
            <w:tcW w:w="283" w:type="dxa"/>
            <w:shd w:val="clear" w:color="auto" w:fill="auto"/>
          </w:tcPr>
          <w:p>
            <w:pPr>
              <w:rPr>
                <w:sz w:val="10"/>
                <w:szCs w:val="10"/>
              </w:rPr>
            </w:pPr>
          </w:p>
          <w:p>
            <w:pPr>
              <w:ind w:left="720"/>
              <w:contextualSpacing/>
              <w:jc w:val="center"/>
              <w:rPr>
                <w:sz w:val="20"/>
              </w:rPr>
            </w:pPr>
          </w:p>
        </w:tc>
        <w:tc>
          <w:tcPr>
            <w:tcW w:w="1276" w:type="dxa"/>
            <w:gridSpan w:val="2"/>
            <w:tcBorders>
              <w:bottom w:val="dotted" w:sz="4" w:space="0" w:color="A6A6A6" w:themeColor="background1" w:themeShade="A6"/>
            </w:tcBorders>
            <w:shd w:val="clear" w:color="auto" w:fill="auto"/>
          </w:tcPr>
          <w:p>
            <w:pPr>
              <w:rPr>
                <w:sz w:val="4"/>
                <w:szCs w:val="4"/>
              </w:rPr>
            </w:pPr>
          </w:p>
          <w:p>
            <w:pPr>
              <w:jc w:val="center"/>
              <w:rPr>
                <w:sz w:val="20"/>
              </w:rPr>
            </w:pPr>
          </w:p>
        </w:tc>
        <w:tc>
          <w:tcPr>
            <w:tcW w:w="287" w:type="dxa"/>
            <w:gridSpan w:val="2"/>
            <w:shd w:val="clear" w:color="auto" w:fill="auto"/>
          </w:tcPr>
          <w:p>
            <w:pPr>
              <w:rPr>
                <w:sz w:val="10"/>
                <w:szCs w:val="10"/>
              </w:rPr>
            </w:pPr>
          </w:p>
          <w:p>
            <w:pPr>
              <w:ind w:left="720"/>
              <w:contextualSpacing/>
              <w:jc w:val="center"/>
              <w:rPr>
                <w:sz w:val="20"/>
              </w:rPr>
            </w:pPr>
          </w:p>
        </w:tc>
        <w:tc>
          <w:tcPr>
            <w:tcW w:w="1562" w:type="dxa"/>
            <w:gridSpan w:val="6"/>
            <w:tcBorders>
              <w:bottom w:val="dotted" w:sz="4" w:space="0" w:color="A6A6A6" w:themeColor="background1" w:themeShade="A6"/>
            </w:tcBorders>
            <w:shd w:val="clear" w:color="auto" w:fill="auto"/>
          </w:tcPr>
          <w:p>
            <w:pPr>
              <w:rPr>
                <w:sz w:val="4"/>
                <w:szCs w:val="4"/>
              </w:rPr>
            </w:pPr>
          </w:p>
          <w:p>
            <w:pPr>
              <w:jc w:val="center"/>
              <w:rPr>
                <w:sz w:val="20"/>
              </w:rPr>
            </w:pPr>
          </w:p>
        </w:tc>
        <w:tc>
          <w:tcPr>
            <w:tcW w:w="283" w:type="dxa"/>
            <w:shd w:val="clear" w:color="auto" w:fill="auto"/>
          </w:tcPr>
          <w:p>
            <w:pPr>
              <w:rPr>
                <w:sz w:val="10"/>
                <w:szCs w:val="10"/>
              </w:rPr>
            </w:pPr>
          </w:p>
          <w:p>
            <w:pPr>
              <w:ind w:left="720"/>
              <w:contextualSpacing/>
              <w:jc w:val="center"/>
              <w:rPr>
                <w:sz w:val="20"/>
              </w:rPr>
            </w:pPr>
          </w:p>
        </w:tc>
        <w:tc>
          <w:tcPr>
            <w:tcW w:w="4678" w:type="dxa"/>
            <w:gridSpan w:val="10"/>
            <w:tcBorders>
              <w:bottom w:val="dotted" w:sz="4" w:space="0" w:color="A6A6A6" w:themeColor="background1" w:themeShade="A6"/>
            </w:tcBorders>
            <w:shd w:val="clear" w:color="auto" w:fill="auto"/>
          </w:tcPr>
          <w:p>
            <w:pPr>
              <w:rPr>
                <w:sz w:val="4"/>
                <w:szCs w:val="4"/>
              </w:rPr>
            </w:pPr>
          </w:p>
          <w:p>
            <w:pPr>
              <w:jc w:val="center"/>
              <w:rPr>
                <w:sz w:val="20"/>
              </w:rPr>
            </w:pPr>
          </w:p>
        </w:tc>
      </w:tr>
      <w:tr>
        <w:tblPrEx>
          <w:tblCellMar>
            <w:left w:w="108" w:type="dxa"/>
            <w:right w:w="108" w:type="dxa"/>
          </w:tblCellMar>
          <w:tblLook w:val="00A0" w:firstRow="1" w:lastRow="0" w:firstColumn="1" w:lastColumn="0" w:noHBand="0" w:noVBand="0"/>
        </w:tblPrEx>
        <w:trPr>
          <w:gridBefore w:val="1"/>
          <w:wBefore w:w="24" w:type="dxa"/>
        </w:trPr>
        <w:tc>
          <w:tcPr>
            <w:tcW w:w="1672" w:type="dxa"/>
            <w:tcBorders>
              <w:top w:val="dotted" w:sz="4" w:space="0" w:color="A6A6A6" w:themeColor="background1" w:themeShade="A6"/>
            </w:tcBorders>
            <w:shd w:val="clear" w:color="auto" w:fill="auto"/>
          </w:tcPr>
          <w:p>
            <w:pPr>
              <w:contextualSpacing/>
              <w:jc w:val="center"/>
              <w:rPr>
                <w:b/>
                <w:spacing w:val="10"/>
                <w:sz w:val="16"/>
                <w:szCs w:val="16"/>
              </w:rPr>
            </w:pPr>
            <w:r>
              <w:rPr>
                <w:sz w:val="16"/>
                <w:szCs w:val="16"/>
              </w:rPr>
              <w:t>(leidimo Nr.)</w:t>
            </w:r>
          </w:p>
        </w:tc>
        <w:tc>
          <w:tcPr>
            <w:tcW w:w="283" w:type="dxa"/>
            <w:shd w:val="clear" w:color="auto" w:fill="auto"/>
          </w:tcPr>
          <w:p>
            <w:pPr>
              <w:ind w:left="720"/>
              <w:contextualSpacing/>
              <w:jc w:val="center"/>
              <w:rPr>
                <w:b/>
                <w:spacing w:val="10"/>
                <w:sz w:val="16"/>
                <w:szCs w:val="16"/>
              </w:rPr>
            </w:pPr>
          </w:p>
        </w:tc>
        <w:tc>
          <w:tcPr>
            <w:tcW w:w="1276" w:type="dxa"/>
            <w:gridSpan w:val="2"/>
            <w:shd w:val="clear" w:color="auto" w:fill="auto"/>
          </w:tcPr>
          <w:p>
            <w:pPr>
              <w:contextualSpacing/>
              <w:jc w:val="center"/>
              <w:rPr>
                <w:b/>
                <w:spacing w:val="10"/>
                <w:sz w:val="16"/>
                <w:szCs w:val="16"/>
              </w:rPr>
            </w:pPr>
            <w:r>
              <w:rPr>
                <w:sz w:val="16"/>
                <w:szCs w:val="16"/>
              </w:rPr>
              <w:t>(išdavimo data)</w:t>
            </w:r>
          </w:p>
        </w:tc>
        <w:tc>
          <w:tcPr>
            <w:tcW w:w="287" w:type="dxa"/>
            <w:gridSpan w:val="2"/>
            <w:shd w:val="clear" w:color="auto" w:fill="auto"/>
          </w:tcPr>
          <w:p>
            <w:pPr>
              <w:ind w:left="720"/>
              <w:contextualSpacing/>
              <w:jc w:val="center"/>
              <w:rPr>
                <w:b/>
                <w:spacing w:val="10"/>
                <w:sz w:val="16"/>
                <w:szCs w:val="16"/>
              </w:rPr>
            </w:pPr>
          </w:p>
        </w:tc>
        <w:tc>
          <w:tcPr>
            <w:tcW w:w="1562" w:type="dxa"/>
            <w:gridSpan w:val="6"/>
            <w:shd w:val="clear" w:color="auto" w:fill="auto"/>
          </w:tcPr>
          <w:p>
            <w:pPr>
              <w:contextualSpacing/>
              <w:jc w:val="center"/>
              <w:rPr>
                <w:b/>
                <w:spacing w:val="10"/>
                <w:sz w:val="16"/>
                <w:szCs w:val="16"/>
              </w:rPr>
            </w:pPr>
            <w:r>
              <w:rPr>
                <w:sz w:val="16"/>
                <w:szCs w:val="16"/>
              </w:rPr>
              <w:t>(galiojimo terminas)</w:t>
            </w:r>
          </w:p>
        </w:tc>
        <w:tc>
          <w:tcPr>
            <w:tcW w:w="283" w:type="dxa"/>
            <w:shd w:val="clear" w:color="auto" w:fill="auto"/>
          </w:tcPr>
          <w:p>
            <w:pPr>
              <w:ind w:left="720"/>
              <w:contextualSpacing/>
              <w:jc w:val="center"/>
              <w:rPr>
                <w:b/>
                <w:spacing w:val="10"/>
                <w:sz w:val="16"/>
                <w:szCs w:val="16"/>
              </w:rPr>
            </w:pPr>
          </w:p>
        </w:tc>
        <w:tc>
          <w:tcPr>
            <w:tcW w:w="4678" w:type="dxa"/>
            <w:gridSpan w:val="10"/>
            <w:shd w:val="clear" w:color="auto" w:fill="auto"/>
          </w:tcPr>
          <w:p>
            <w:pPr>
              <w:contextualSpacing/>
              <w:jc w:val="center"/>
              <w:rPr>
                <w:b/>
                <w:spacing w:val="10"/>
                <w:sz w:val="16"/>
                <w:szCs w:val="16"/>
              </w:rPr>
            </w:pPr>
            <w:r>
              <w:rPr>
                <w:sz w:val="16"/>
                <w:szCs w:val="16"/>
              </w:rPr>
              <w:t xml:space="preserve">(leidime nurodyta stoties vieta)               </w:t>
            </w:r>
          </w:p>
        </w:tc>
      </w:tr>
      <w:tr>
        <w:tblPrEx>
          <w:tblCellMar>
            <w:left w:w="108" w:type="dxa"/>
            <w:right w:w="108" w:type="dxa"/>
          </w:tblCellMar>
          <w:tblLook w:val="00A0" w:firstRow="1" w:lastRow="0" w:firstColumn="1" w:lastColumn="0" w:noHBand="0" w:noVBand="0"/>
        </w:tblPrEx>
        <w:trPr>
          <w:gridBefore w:val="1"/>
          <w:wBefore w:w="24" w:type="dxa"/>
        </w:trPr>
        <w:tc>
          <w:tcPr>
            <w:tcW w:w="3231" w:type="dxa"/>
            <w:gridSpan w:val="4"/>
            <w:tcBorders>
              <w:bottom w:val="dotted" w:sz="4" w:space="0" w:color="A6A6A6" w:themeColor="background1" w:themeShade="A6"/>
            </w:tcBorders>
            <w:shd w:val="clear" w:color="auto" w:fill="auto"/>
          </w:tcPr>
          <w:p>
            <w:pPr>
              <w:rPr>
                <w:sz w:val="4"/>
                <w:szCs w:val="4"/>
              </w:rPr>
            </w:pPr>
          </w:p>
          <w:p>
            <w:pPr>
              <w:jc w:val="center"/>
              <w:rPr>
                <w:sz w:val="20"/>
              </w:rPr>
            </w:pPr>
          </w:p>
        </w:tc>
        <w:tc>
          <w:tcPr>
            <w:tcW w:w="287" w:type="dxa"/>
            <w:gridSpan w:val="2"/>
            <w:shd w:val="clear" w:color="auto" w:fill="auto"/>
          </w:tcPr>
          <w:p>
            <w:pPr>
              <w:rPr>
                <w:sz w:val="4"/>
                <w:szCs w:val="4"/>
              </w:rPr>
            </w:pPr>
          </w:p>
          <w:p>
            <w:pPr>
              <w:ind w:left="720"/>
              <w:contextualSpacing/>
              <w:jc w:val="center"/>
              <w:rPr>
                <w:spacing w:val="10"/>
                <w:sz w:val="20"/>
              </w:rPr>
            </w:pPr>
          </w:p>
        </w:tc>
        <w:tc>
          <w:tcPr>
            <w:tcW w:w="1562" w:type="dxa"/>
            <w:gridSpan w:val="6"/>
            <w:shd w:val="clear" w:color="auto" w:fill="auto"/>
          </w:tcPr>
          <w:p>
            <w:pPr>
              <w:rPr>
                <w:sz w:val="4"/>
                <w:szCs w:val="4"/>
              </w:rPr>
            </w:pPr>
          </w:p>
          <w:p>
            <w:pPr>
              <w:ind w:left="720"/>
              <w:contextualSpacing/>
              <w:jc w:val="center"/>
              <w:rPr>
                <w:sz w:val="20"/>
              </w:rPr>
            </w:pPr>
          </w:p>
        </w:tc>
        <w:tc>
          <w:tcPr>
            <w:tcW w:w="283" w:type="dxa"/>
            <w:shd w:val="clear" w:color="auto" w:fill="auto"/>
          </w:tcPr>
          <w:p>
            <w:pPr>
              <w:rPr>
                <w:sz w:val="4"/>
                <w:szCs w:val="4"/>
              </w:rPr>
            </w:pPr>
          </w:p>
          <w:p>
            <w:pPr>
              <w:ind w:left="720"/>
              <w:contextualSpacing/>
              <w:jc w:val="center"/>
              <w:rPr>
                <w:spacing w:val="10"/>
                <w:sz w:val="20"/>
              </w:rPr>
            </w:pPr>
          </w:p>
        </w:tc>
        <w:tc>
          <w:tcPr>
            <w:tcW w:w="3113" w:type="dxa"/>
            <w:gridSpan w:val="7"/>
            <w:shd w:val="clear" w:color="auto" w:fill="auto"/>
          </w:tcPr>
          <w:p>
            <w:pPr>
              <w:rPr>
                <w:sz w:val="4"/>
                <w:szCs w:val="4"/>
              </w:rPr>
            </w:pPr>
          </w:p>
          <w:p>
            <w:pPr>
              <w:ind w:left="720"/>
              <w:contextualSpacing/>
              <w:jc w:val="center"/>
              <w:rPr>
                <w:sz w:val="20"/>
              </w:rPr>
            </w:pPr>
          </w:p>
        </w:tc>
        <w:tc>
          <w:tcPr>
            <w:tcW w:w="296" w:type="dxa"/>
            <w:shd w:val="clear" w:color="auto" w:fill="auto"/>
          </w:tcPr>
          <w:p>
            <w:pPr>
              <w:rPr>
                <w:sz w:val="4"/>
                <w:szCs w:val="4"/>
              </w:rPr>
            </w:pPr>
          </w:p>
          <w:p>
            <w:pPr>
              <w:ind w:left="720"/>
              <w:contextualSpacing/>
              <w:jc w:val="center"/>
              <w:rPr>
                <w:spacing w:val="10"/>
                <w:sz w:val="20"/>
              </w:rPr>
            </w:pPr>
          </w:p>
        </w:tc>
        <w:tc>
          <w:tcPr>
            <w:tcW w:w="1269" w:type="dxa"/>
            <w:gridSpan w:val="2"/>
            <w:shd w:val="clear" w:color="auto" w:fill="auto"/>
          </w:tcPr>
          <w:p>
            <w:pPr>
              <w:rPr>
                <w:sz w:val="4"/>
                <w:szCs w:val="4"/>
              </w:rPr>
            </w:pPr>
          </w:p>
          <w:p>
            <w:pPr>
              <w:ind w:left="720"/>
              <w:contextualSpacing/>
              <w:jc w:val="center"/>
              <w:rPr>
                <w:sz w:val="20"/>
              </w:rPr>
            </w:pPr>
          </w:p>
        </w:tc>
      </w:tr>
      <w:tr>
        <w:tblPrEx>
          <w:tblCellMar>
            <w:left w:w="108" w:type="dxa"/>
            <w:right w:w="108" w:type="dxa"/>
          </w:tblCellMar>
          <w:tblLook w:val="00A0" w:firstRow="1" w:lastRow="0" w:firstColumn="1" w:lastColumn="0" w:noHBand="0" w:noVBand="0"/>
        </w:tblPrEx>
        <w:trPr>
          <w:gridBefore w:val="1"/>
          <w:wBefore w:w="24" w:type="dxa"/>
        </w:trPr>
        <w:tc>
          <w:tcPr>
            <w:tcW w:w="3231" w:type="dxa"/>
            <w:gridSpan w:val="4"/>
            <w:tcBorders>
              <w:top w:val="dotted" w:sz="4" w:space="0" w:color="A6A6A6" w:themeColor="background1" w:themeShade="A6"/>
            </w:tcBorders>
            <w:shd w:val="clear" w:color="auto" w:fill="auto"/>
          </w:tcPr>
          <w:p>
            <w:pPr>
              <w:contextualSpacing/>
              <w:jc w:val="center"/>
              <w:rPr>
                <w:sz w:val="16"/>
                <w:szCs w:val="16"/>
              </w:rPr>
            </w:pPr>
            <w:r>
              <w:rPr>
                <w:sz w:val="16"/>
                <w:szCs w:val="16"/>
              </w:rPr>
              <w:t>(radijo dažnis, MHz)</w:t>
            </w:r>
          </w:p>
        </w:tc>
        <w:tc>
          <w:tcPr>
            <w:tcW w:w="287" w:type="dxa"/>
            <w:gridSpan w:val="2"/>
            <w:shd w:val="clear" w:color="auto" w:fill="auto"/>
          </w:tcPr>
          <w:p>
            <w:pPr>
              <w:ind w:left="720"/>
              <w:contextualSpacing/>
              <w:jc w:val="center"/>
              <w:rPr>
                <w:b/>
                <w:spacing w:val="10"/>
                <w:sz w:val="16"/>
                <w:szCs w:val="16"/>
              </w:rPr>
            </w:pPr>
          </w:p>
        </w:tc>
        <w:tc>
          <w:tcPr>
            <w:tcW w:w="1562" w:type="dxa"/>
            <w:gridSpan w:val="6"/>
            <w:shd w:val="clear" w:color="auto" w:fill="auto"/>
          </w:tcPr>
          <w:p>
            <w:pPr>
              <w:ind w:left="720"/>
              <w:contextualSpacing/>
              <w:jc w:val="center"/>
              <w:rPr>
                <w:sz w:val="16"/>
                <w:szCs w:val="16"/>
              </w:rPr>
            </w:pPr>
          </w:p>
        </w:tc>
        <w:tc>
          <w:tcPr>
            <w:tcW w:w="283" w:type="dxa"/>
            <w:shd w:val="clear" w:color="auto" w:fill="auto"/>
          </w:tcPr>
          <w:p>
            <w:pPr>
              <w:ind w:left="720"/>
              <w:contextualSpacing/>
              <w:jc w:val="center"/>
              <w:rPr>
                <w:b/>
                <w:spacing w:val="10"/>
                <w:sz w:val="16"/>
                <w:szCs w:val="16"/>
              </w:rPr>
            </w:pPr>
          </w:p>
        </w:tc>
        <w:tc>
          <w:tcPr>
            <w:tcW w:w="3113" w:type="dxa"/>
            <w:gridSpan w:val="7"/>
            <w:shd w:val="clear" w:color="auto" w:fill="auto"/>
          </w:tcPr>
          <w:p>
            <w:pPr>
              <w:ind w:left="720"/>
              <w:contextualSpacing/>
              <w:jc w:val="center"/>
              <w:rPr>
                <w:sz w:val="16"/>
                <w:szCs w:val="16"/>
              </w:rPr>
            </w:pPr>
          </w:p>
        </w:tc>
        <w:tc>
          <w:tcPr>
            <w:tcW w:w="296" w:type="dxa"/>
            <w:shd w:val="clear" w:color="auto" w:fill="auto"/>
          </w:tcPr>
          <w:p>
            <w:pPr>
              <w:ind w:left="720"/>
              <w:contextualSpacing/>
              <w:jc w:val="center"/>
              <w:rPr>
                <w:b/>
                <w:spacing w:val="10"/>
                <w:sz w:val="16"/>
                <w:szCs w:val="16"/>
              </w:rPr>
            </w:pPr>
          </w:p>
        </w:tc>
        <w:tc>
          <w:tcPr>
            <w:tcW w:w="1269" w:type="dxa"/>
            <w:gridSpan w:val="2"/>
            <w:shd w:val="clear" w:color="auto" w:fill="auto"/>
          </w:tcPr>
          <w:p>
            <w:pPr>
              <w:ind w:left="720"/>
              <w:contextualSpacing/>
              <w:jc w:val="center"/>
              <w:rPr>
                <w:sz w:val="16"/>
                <w:szCs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trPr>
        <w:tc>
          <w:tcPr>
            <w:tcW w:w="4426" w:type="dxa"/>
            <w:gridSpan w:val="11"/>
            <w:tcBorders>
              <w:top w:val="nil"/>
              <w:left w:val="nil"/>
              <w:bottom w:val="nil"/>
              <w:right w:val="nil"/>
            </w:tcBorders>
            <w:vAlign w:val="center"/>
          </w:tcPr>
          <w:p>
            <w:pPr>
              <w:rPr>
                <w:sz w:val="6"/>
                <w:szCs w:val="6"/>
              </w:rPr>
            </w:pPr>
          </w:p>
          <w:p>
            <w:pPr>
              <w:rPr>
                <w:rFonts w:ascii="Times New Roman Bold" w:hAnsi="Times New Roman Bold"/>
                <w:b/>
                <w:spacing w:val="6"/>
                <w:sz w:val="20"/>
                <w:lang w:eastAsia="lt-LT"/>
              </w:rPr>
            </w:pPr>
            <w:r>
              <w:rPr>
                <w:rFonts w:ascii="Times New Roman Bold" w:hAnsi="Times New Roman Bold"/>
                <w:b/>
                <w:spacing w:val="6"/>
                <w:sz w:val="20"/>
                <w:lang w:eastAsia="lt-LT"/>
              </w:rPr>
              <w:t>3. MATAVIMO SĄLYGOS</w:t>
            </w:r>
          </w:p>
        </w:tc>
        <w:tc>
          <w:tcPr>
            <w:tcW w:w="5606" w:type="dxa"/>
            <w:gridSpan w:val="12"/>
            <w:tcBorders>
              <w:top w:val="nil"/>
              <w:left w:val="nil"/>
              <w:bottom w:val="nil"/>
              <w:right w:val="nil"/>
            </w:tcBorders>
          </w:tcPr>
          <w:p>
            <w:pPr>
              <w:rPr>
                <w:rFonts w:ascii="Times New Roman Bold" w:hAnsi="Times New Roman Bold"/>
                <w:spacing w:val="6"/>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trPr>
        <w:tc>
          <w:tcPr>
            <w:tcW w:w="4112" w:type="dxa"/>
            <w:gridSpan w:val="9"/>
            <w:tcBorders>
              <w:top w:val="nil"/>
              <w:left w:val="nil"/>
              <w:bottom w:val="dotted" w:sz="4" w:space="0" w:color="A6A6A6" w:themeColor="background1" w:themeShade="A6"/>
              <w:right w:val="nil"/>
            </w:tcBorders>
            <w:vAlign w:val="center"/>
          </w:tcPr>
          <w:p>
            <w:pPr>
              <w:rPr>
                <w:sz w:val="4"/>
                <w:szCs w:val="4"/>
              </w:rPr>
            </w:pPr>
          </w:p>
          <w:p>
            <w:pPr>
              <w:jc w:val="center"/>
              <w:rPr>
                <w:sz w:val="20"/>
                <w:lang w:eastAsia="lt-LT"/>
              </w:rPr>
            </w:pPr>
          </w:p>
        </w:tc>
        <w:tc>
          <w:tcPr>
            <w:tcW w:w="283" w:type="dxa"/>
            <w:tcBorders>
              <w:top w:val="nil"/>
              <w:left w:val="nil"/>
              <w:bottom w:val="nil"/>
              <w:right w:val="nil"/>
            </w:tcBorders>
            <w:vAlign w:val="center"/>
          </w:tcPr>
          <w:p>
            <w:pPr>
              <w:rPr>
                <w:sz w:val="4"/>
                <w:szCs w:val="4"/>
              </w:rPr>
            </w:pPr>
          </w:p>
          <w:p>
            <w:pPr>
              <w:jc w:val="center"/>
              <w:rPr>
                <w:sz w:val="20"/>
                <w:lang w:eastAsia="lt-LT"/>
              </w:rPr>
            </w:pPr>
          </w:p>
        </w:tc>
        <w:tc>
          <w:tcPr>
            <w:tcW w:w="3091" w:type="dxa"/>
            <w:gridSpan w:val="7"/>
            <w:tcBorders>
              <w:top w:val="nil"/>
              <w:left w:val="nil"/>
              <w:bottom w:val="dotted" w:sz="4" w:space="0" w:color="A6A6A6" w:themeColor="background1" w:themeShade="A6"/>
              <w:right w:val="nil"/>
            </w:tcBorders>
            <w:vAlign w:val="center"/>
          </w:tcPr>
          <w:p>
            <w:pPr>
              <w:rPr>
                <w:sz w:val="4"/>
                <w:szCs w:val="4"/>
              </w:rPr>
            </w:pPr>
          </w:p>
          <w:p>
            <w:pPr>
              <w:jc w:val="center"/>
              <w:rPr>
                <w:sz w:val="20"/>
                <w:lang w:eastAsia="lt-LT"/>
              </w:rPr>
            </w:pPr>
          </w:p>
        </w:tc>
        <w:tc>
          <w:tcPr>
            <w:tcW w:w="288" w:type="dxa"/>
            <w:gridSpan w:val="2"/>
            <w:tcBorders>
              <w:top w:val="nil"/>
              <w:left w:val="nil"/>
              <w:bottom w:val="nil"/>
              <w:right w:val="nil"/>
            </w:tcBorders>
            <w:vAlign w:val="center"/>
          </w:tcPr>
          <w:p>
            <w:pPr>
              <w:rPr>
                <w:sz w:val="4"/>
                <w:szCs w:val="4"/>
              </w:rPr>
            </w:pPr>
          </w:p>
          <w:p>
            <w:pPr>
              <w:jc w:val="center"/>
              <w:rPr>
                <w:sz w:val="20"/>
                <w:lang w:eastAsia="lt-LT"/>
              </w:rPr>
            </w:pPr>
          </w:p>
        </w:tc>
        <w:tc>
          <w:tcPr>
            <w:tcW w:w="2258" w:type="dxa"/>
            <w:gridSpan w:val="4"/>
            <w:tcBorders>
              <w:top w:val="nil"/>
              <w:left w:val="nil"/>
              <w:bottom w:val="dotted" w:sz="4" w:space="0" w:color="A6A6A6" w:themeColor="background1" w:themeShade="A6"/>
              <w:right w:val="nil"/>
            </w:tcBorders>
            <w:vAlign w:val="center"/>
          </w:tcPr>
          <w:p>
            <w:pPr>
              <w:rPr>
                <w:sz w:val="4"/>
                <w:szCs w:val="4"/>
              </w:rPr>
            </w:pPr>
          </w:p>
          <w:p>
            <w:pPr>
              <w:jc w:val="center"/>
              <w:rPr>
                <w:sz w:val="20"/>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trPr>
        <w:tc>
          <w:tcPr>
            <w:tcW w:w="4112" w:type="dxa"/>
            <w:gridSpan w:val="9"/>
            <w:tcBorders>
              <w:top w:val="dotted" w:sz="4" w:space="0" w:color="A6A6A6" w:themeColor="background1" w:themeShade="A6"/>
              <w:left w:val="nil"/>
              <w:bottom w:val="nil"/>
              <w:right w:val="nil"/>
            </w:tcBorders>
            <w:vAlign w:val="center"/>
          </w:tcPr>
          <w:p>
            <w:pPr>
              <w:jc w:val="center"/>
              <w:rPr>
                <w:rFonts w:ascii="Times New Roman Bold" w:hAnsi="Times New Roman Bold"/>
                <w:sz w:val="16"/>
                <w:szCs w:val="16"/>
                <w:lang w:eastAsia="lt-LT"/>
              </w:rPr>
            </w:pPr>
            <w:r>
              <w:rPr>
                <w:sz w:val="16"/>
                <w:szCs w:val="16"/>
                <w:lang w:eastAsia="lt-LT"/>
              </w:rPr>
              <w:t>(matavimo vietos adresas arba geografinės koordinatės)</w:t>
            </w:r>
          </w:p>
        </w:tc>
        <w:tc>
          <w:tcPr>
            <w:tcW w:w="283" w:type="dxa"/>
            <w:tcBorders>
              <w:top w:val="nil"/>
              <w:left w:val="nil"/>
              <w:bottom w:val="nil"/>
              <w:right w:val="nil"/>
            </w:tcBorders>
            <w:vAlign w:val="center"/>
          </w:tcPr>
          <w:p>
            <w:pPr>
              <w:jc w:val="center"/>
              <w:rPr>
                <w:rFonts w:ascii="Times New Roman Bold" w:hAnsi="Times New Roman Bold"/>
                <w:sz w:val="16"/>
                <w:szCs w:val="16"/>
                <w:lang w:eastAsia="lt-LT"/>
              </w:rPr>
            </w:pPr>
          </w:p>
        </w:tc>
        <w:tc>
          <w:tcPr>
            <w:tcW w:w="3091" w:type="dxa"/>
            <w:gridSpan w:val="7"/>
            <w:tcBorders>
              <w:top w:val="dotted" w:sz="4" w:space="0" w:color="A6A6A6" w:themeColor="background1" w:themeShade="A6"/>
              <w:left w:val="nil"/>
              <w:bottom w:val="nil"/>
              <w:right w:val="nil"/>
            </w:tcBorders>
            <w:vAlign w:val="center"/>
          </w:tcPr>
          <w:p>
            <w:pPr>
              <w:jc w:val="center"/>
              <w:rPr>
                <w:rFonts w:ascii="Times New Roman Bold" w:hAnsi="Times New Roman Bold"/>
                <w:sz w:val="16"/>
                <w:szCs w:val="16"/>
                <w:lang w:eastAsia="lt-LT"/>
              </w:rPr>
            </w:pPr>
            <w:r>
              <w:rPr>
                <w:sz w:val="16"/>
                <w:szCs w:val="16"/>
                <w:lang w:eastAsia="lt-LT"/>
              </w:rPr>
              <w:t xml:space="preserve">(amplitudės keitimo koeficientas, </w:t>
            </w:r>
            <w:r>
              <w:rPr>
                <w:sz w:val="16"/>
                <w:szCs w:val="16"/>
                <w:lang w:val="en-US" w:eastAsia="lt-LT"/>
              </w:rPr>
              <w:t>% / kHz</w:t>
            </w:r>
            <w:r>
              <w:rPr>
                <w:sz w:val="16"/>
                <w:szCs w:val="16"/>
                <w:lang w:eastAsia="lt-LT"/>
              </w:rPr>
              <w:t>)</w:t>
            </w:r>
          </w:p>
        </w:tc>
        <w:tc>
          <w:tcPr>
            <w:tcW w:w="288" w:type="dxa"/>
            <w:gridSpan w:val="2"/>
            <w:tcBorders>
              <w:top w:val="nil"/>
              <w:left w:val="nil"/>
              <w:bottom w:val="nil"/>
              <w:right w:val="nil"/>
            </w:tcBorders>
            <w:vAlign w:val="center"/>
          </w:tcPr>
          <w:p>
            <w:pPr>
              <w:jc w:val="center"/>
              <w:rPr>
                <w:rFonts w:ascii="Times New Roman Bold" w:hAnsi="Times New Roman Bold"/>
                <w:sz w:val="16"/>
                <w:szCs w:val="16"/>
                <w:lang w:eastAsia="lt-LT"/>
              </w:rPr>
            </w:pPr>
          </w:p>
        </w:tc>
        <w:tc>
          <w:tcPr>
            <w:tcW w:w="2258" w:type="dxa"/>
            <w:gridSpan w:val="4"/>
            <w:tcBorders>
              <w:top w:val="dotted" w:sz="4" w:space="0" w:color="A6A6A6" w:themeColor="background1" w:themeShade="A6"/>
              <w:left w:val="nil"/>
              <w:bottom w:val="nil"/>
              <w:right w:val="nil"/>
            </w:tcBorders>
            <w:vAlign w:val="center"/>
          </w:tcPr>
          <w:p>
            <w:pPr>
              <w:jc w:val="center"/>
              <w:rPr>
                <w:rFonts w:ascii="Times New Roman Bold" w:hAnsi="Times New Roman Bold"/>
                <w:sz w:val="16"/>
                <w:szCs w:val="16"/>
                <w:lang w:eastAsia="lt-LT"/>
              </w:rPr>
            </w:pPr>
            <w:r>
              <w:rPr>
                <w:sz w:val="16"/>
                <w:szCs w:val="16"/>
                <w:lang w:eastAsia="lt-LT"/>
              </w:rPr>
              <w:t>(matavimo trukmė, min)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Pr>
        <w:tc>
          <w:tcPr>
            <w:tcW w:w="5104" w:type="dxa"/>
            <w:gridSpan w:val="13"/>
            <w:tcBorders>
              <w:top w:val="nil"/>
              <w:left w:val="nil"/>
              <w:bottom w:val="nil"/>
              <w:right w:val="nil"/>
            </w:tcBorders>
            <w:vAlign w:val="center"/>
          </w:tcPr>
          <w:p>
            <w:pPr>
              <w:rPr>
                <w:sz w:val="6"/>
                <w:szCs w:val="6"/>
              </w:rPr>
            </w:pPr>
          </w:p>
          <w:p>
            <w:pPr>
              <w:rPr>
                <w:b/>
                <w:sz w:val="20"/>
                <w:lang w:eastAsia="lt-LT"/>
              </w:rPr>
            </w:pPr>
            <w:r>
              <w:rPr>
                <w:rFonts w:ascii="Times New Roman Bold" w:hAnsi="Times New Roman Bold"/>
                <w:b/>
                <w:sz w:val="20"/>
                <w:lang w:eastAsia="lt-LT"/>
              </w:rPr>
              <w:t xml:space="preserve">4. </w:t>
            </w:r>
            <w:r>
              <w:rPr>
                <w:rFonts w:ascii="Times New Roman Bold" w:hAnsi="Times New Roman Bold"/>
                <w:b/>
                <w:spacing w:val="6"/>
                <w:sz w:val="20"/>
                <w:lang w:eastAsia="lt-LT"/>
              </w:rPr>
              <w:t>MATAVIMO REZULTATAI</w:t>
            </w:r>
          </w:p>
        </w:tc>
        <w:tc>
          <w:tcPr>
            <w:tcW w:w="4928" w:type="dxa"/>
            <w:gridSpan w:val="10"/>
            <w:tcBorders>
              <w:top w:val="nil"/>
              <w:left w:val="nil"/>
              <w:bottom w:val="nil"/>
              <w:right w:val="nil"/>
            </w:tcBorders>
            <w:noWrap/>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Pr>
        <w:tc>
          <w:tcPr>
            <w:tcW w:w="5104" w:type="dxa"/>
            <w:gridSpan w:val="13"/>
            <w:tcBorders>
              <w:top w:val="nil"/>
              <w:left w:val="nil"/>
              <w:bottom w:val="nil"/>
              <w:right w:val="nil"/>
            </w:tcBorders>
            <w:vAlign w:val="center"/>
          </w:tcPr>
          <w:p>
            <w:pPr>
              <w:rPr>
                <w:sz w:val="4"/>
                <w:szCs w:val="4"/>
              </w:rPr>
            </w:pPr>
          </w:p>
          <w:p>
            <w:pPr>
              <w:rPr>
                <w:rFonts w:ascii="Times New Roman Bold" w:hAnsi="Times New Roman Bold"/>
                <w:spacing w:val="6"/>
                <w:sz w:val="20"/>
                <w:lang w:eastAsia="lt-LT"/>
              </w:rPr>
            </w:pPr>
            <w:r>
              <w:rPr>
                <w:rFonts w:ascii="Times New Roman Bold" w:hAnsi="Times New Roman Bold"/>
                <w:b/>
                <w:spacing w:val="6"/>
                <w:sz w:val="20"/>
                <w:lang w:eastAsia="lt-LT"/>
              </w:rPr>
              <w:t xml:space="preserve">4.1. </w:t>
            </w:r>
            <w:r>
              <w:rPr>
                <w:sz w:val="20"/>
                <w:lang w:eastAsia="lt-LT"/>
              </w:rPr>
              <w:t>Radijo dažnio nuokrypio ribinės vertės viršijimo santykinis laikas</w:t>
            </w:r>
          </w:p>
        </w:tc>
        <w:tc>
          <w:tcPr>
            <w:tcW w:w="4928" w:type="dxa"/>
            <w:gridSpan w:val="10"/>
            <w:tcBorders>
              <w:top w:val="nil"/>
              <w:left w:val="nil"/>
              <w:bottom w:val="dotted" w:sz="4" w:space="0" w:color="A6A6A6" w:themeColor="background1" w:themeShade="A6"/>
              <w:right w:val="nil"/>
            </w:tcBorders>
            <w:noWrap/>
          </w:tcPr>
          <w:p>
            <w:pPr>
              <w:rPr>
                <w:sz w:val="4"/>
                <w:szCs w:val="4"/>
              </w:rPr>
            </w:pPr>
          </w:p>
          <w:p>
            <w:pPr>
              <w:ind w:left="284" w:hanging="284"/>
              <w:contextualSpacing/>
              <w:rPr>
                <w:szCs w:val="24"/>
                <w:lang w:eastAsia="lt-LT"/>
              </w:rPr>
            </w:pPr>
            <w:r>
              <w:rPr>
                <w:rFonts w:ascii="Times New Roman Bold" w:hAnsi="Times New Roman Bold"/>
                <w:b/>
                <w:sz w:val="20"/>
                <w:szCs w:val="24"/>
                <w:lang w:eastAsia="lt-LT"/>
              </w:rPr>
              <w:t xml:space="preserve">4.2. </w:t>
            </w:r>
            <w:r>
              <w:rPr>
                <w:sz w:val="20"/>
                <w:lang w:eastAsia="lt-LT"/>
              </w:rPr>
              <w:t>Moduliavimo galia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Height w:hRule="exact" w:val="567"/>
        </w:trPr>
        <w:tc>
          <w:tcPr>
            <w:tcW w:w="4820" w:type="dxa"/>
            <w:gridSpan w:val="12"/>
            <w:vMerge w:val="restart"/>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vAlign w:val="center"/>
          </w:tcPr>
          <w:p>
            <w:pPr>
              <w:jc w:val="center"/>
              <w:rPr>
                <w:sz w:val="20"/>
                <w:lang w:val="en-US" w:eastAsia="lt-LT"/>
              </w:rPr>
            </w:pPr>
          </w:p>
        </w:tc>
        <w:tc>
          <w:tcPr>
            <w:tcW w:w="284" w:type="dxa"/>
            <w:tcBorders>
              <w:top w:val="nil"/>
              <w:left w:val="dotted" w:sz="4" w:space="0" w:color="A6A6A6" w:themeColor="background1" w:themeShade="A6"/>
              <w:bottom w:val="nil"/>
              <w:right w:val="dotted" w:sz="4" w:space="0" w:color="A6A6A6" w:themeColor="background1" w:themeShade="A6"/>
            </w:tcBorders>
            <w:vAlign w:val="center"/>
          </w:tcPr>
          <w:p>
            <w:pPr>
              <w:jc w:val="center"/>
              <w:rPr>
                <w:szCs w:val="24"/>
                <w:lang w:eastAsia="lt-LT"/>
              </w:rPr>
            </w:pPr>
          </w:p>
        </w:tc>
        <w:tc>
          <w:tcPr>
            <w:tcW w:w="4928" w:type="dxa"/>
            <w:gridSpan w:val="10"/>
            <w:vMerge w:val="restart"/>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noWrap/>
            <w:tcFitText/>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Height w:hRule="exact" w:val="284"/>
        </w:trPr>
        <w:tc>
          <w:tcPr>
            <w:tcW w:w="4820" w:type="dxa"/>
            <w:gridSpan w:val="12"/>
            <w:vMerge/>
            <w:tcBorders>
              <w:top w:val="single" w:sz="4" w:space="0" w:color="auto"/>
              <w:left w:val="dotted" w:sz="4" w:space="0" w:color="A6A6A6" w:themeColor="background1" w:themeShade="A6"/>
              <w:bottom w:val="single" w:sz="4" w:space="0" w:color="auto"/>
              <w:right w:val="dotted" w:sz="4" w:space="0" w:color="A6A6A6" w:themeColor="background1" w:themeShade="A6"/>
            </w:tcBorders>
            <w:vAlign w:val="center"/>
          </w:tcPr>
          <w:p>
            <w:pPr>
              <w:jc w:val="center"/>
              <w:rPr>
                <w:sz w:val="20"/>
                <w:lang w:eastAsia="lt-LT"/>
              </w:rPr>
            </w:pPr>
          </w:p>
        </w:tc>
        <w:tc>
          <w:tcPr>
            <w:tcW w:w="284" w:type="dxa"/>
            <w:tcBorders>
              <w:top w:val="nil"/>
              <w:left w:val="dotted" w:sz="4" w:space="0" w:color="A6A6A6" w:themeColor="background1" w:themeShade="A6"/>
              <w:bottom w:val="nil"/>
              <w:right w:val="dotted" w:sz="4" w:space="0" w:color="A6A6A6" w:themeColor="background1" w:themeShade="A6"/>
            </w:tcBorders>
            <w:vAlign w:val="center"/>
          </w:tcPr>
          <w:p>
            <w:pPr>
              <w:jc w:val="center"/>
              <w:rPr>
                <w:sz w:val="20"/>
                <w:lang w:eastAsia="lt-LT"/>
              </w:rPr>
            </w:pPr>
          </w:p>
        </w:tc>
        <w:tc>
          <w:tcPr>
            <w:tcW w:w="4928" w:type="dxa"/>
            <w:gridSpan w:val="10"/>
            <w:vMerge/>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noWrap/>
            <w:tcFitText/>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Height w:hRule="exact" w:val="987"/>
        </w:trPr>
        <w:tc>
          <w:tcPr>
            <w:tcW w:w="4820" w:type="dxa"/>
            <w:gridSpan w:val="12"/>
            <w:vMerge/>
            <w:tcBorders>
              <w:top w:val="single" w:sz="4" w:space="0" w:color="auto"/>
              <w:left w:val="dotted" w:sz="4" w:space="0" w:color="A6A6A6" w:themeColor="background1" w:themeShade="A6"/>
              <w:bottom w:val="single" w:sz="4" w:space="0" w:color="auto"/>
              <w:right w:val="dotted" w:sz="4" w:space="0" w:color="A6A6A6" w:themeColor="background1" w:themeShade="A6"/>
            </w:tcBorders>
            <w:vAlign w:val="center"/>
          </w:tcPr>
          <w:p>
            <w:pPr>
              <w:jc w:val="center"/>
              <w:rPr>
                <w:sz w:val="28"/>
                <w:szCs w:val="28"/>
                <w:lang w:eastAsia="lt-LT"/>
              </w:rPr>
            </w:pPr>
          </w:p>
        </w:tc>
        <w:tc>
          <w:tcPr>
            <w:tcW w:w="284" w:type="dxa"/>
            <w:tcBorders>
              <w:top w:val="nil"/>
              <w:left w:val="dotted" w:sz="4" w:space="0" w:color="A6A6A6" w:themeColor="background1" w:themeShade="A6"/>
              <w:bottom w:val="nil"/>
              <w:right w:val="dotted" w:sz="4" w:space="0" w:color="A6A6A6" w:themeColor="background1" w:themeShade="A6"/>
            </w:tcBorders>
            <w:vAlign w:val="center"/>
          </w:tcPr>
          <w:p>
            <w:pPr>
              <w:jc w:val="center"/>
              <w:rPr>
                <w:sz w:val="20"/>
                <w:lang w:eastAsia="lt-LT"/>
              </w:rPr>
            </w:pPr>
          </w:p>
        </w:tc>
        <w:tc>
          <w:tcPr>
            <w:tcW w:w="4928" w:type="dxa"/>
            <w:gridSpan w:val="10"/>
            <w:vMerge/>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noWrap/>
            <w:tcFitText/>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Height w:hRule="exact" w:val="754"/>
        </w:trPr>
        <w:tc>
          <w:tcPr>
            <w:tcW w:w="4820" w:type="dxa"/>
            <w:gridSpan w:val="12"/>
            <w:vMerge/>
            <w:tcBorders>
              <w:top w:val="single" w:sz="4" w:space="0" w:color="auto"/>
              <w:left w:val="dotted" w:sz="4" w:space="0" w:color="A6A6A6" w:themeColor="background1" w:themeShade="A6"/>
              <w:bottom w:val="single" w:sz="4" w:space="0" w:color="auto"/>
              <w:right w:val="dotted" w:sz="4" w:space="0" w:color="A6A6A6" w:themeColor="background1" w:themeShade="A6"/>
            </w:tcBorders>
            <w:vAlign w:val="center"/>
          </w:tcPr>
          <w:p>
            <w:pPr>
              <w:jc w:val="center"/>
              <w:rPr>
                <w:szCs w:val="24"/>
                <w:lang w:eastAsia="lt-LT"/>
              </w:rPr>
            </w:pPr>
          </w:p>
        </w:tc>
        <w:tc>
          <w:tcPr>
            <w:tcW w:w="284" w:type="dxa"/>
            <w:tcBorders>
              <w:top w:val="nil"/>
              <w:left w:val="dotted" w:sz="4" w:space="0" w:color="A6A6A6" w:themeColor="background1" w:themeShade="A6"/>
              <w:bottom w:val="nil"/>
              <w:right w:val="dotted" w:sz="4" w:space="0" w:color="A6A6A6" w:themeColor="background1" w:themeShade="A6"/>
            </w:tcBorders>
            <w:vAlign w:val="center"/>
          </w:tcPr>
          <w:p>
            <w:pPr>
              <w:jc w:val="center"/>
              <w:rPr>
                <w:szCs w:val="24"/>
                <w:lang w:eastAsia="lt-LT"/>
              </w:rPr>
            </w:pPr>
          </w:p>
        </w:tc>
        <w:tc>
          <w:tcPr>
            <w:tcW w:w="4928" w:type="dxa"/>
            <w:gridSpan w:val="10"/>
            <w:vMerge/>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noWrap/>
            <w:tcFitText/>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Height w:hRule="exact" w:val="567"/>
        </w:trPr>
        <w:tc>
          <w:tcPr>
            <w:tcW w:w="4820" w:type="dxa"/>
            <w:gridSpan w:val="12"/>
            <w:vMerge/>
            <w:tcBorders>
              <w:top w:val="single" w:sz="4" w:space="0" w:color="auto"/>
              <w:left w:val="dotted" w:sz="4" w:space="0" w:color="A6A6A6" w:themeColor="background1" w:themeShade="A6"/>
              <w:bottom w:val="single" w:sz="4" w:space="0" w:color="auto"/>
              <w:right w:val="dotted" w:sz="4" w:space="0" w:color="A6A6A6" w:themeColor="background1" w:themeShade="A6"/>
            </w:tcBorders>
            <w:vAlign w:val="center"/>
          </w:tcPr>
          <w:p>
            <w:pPr>
              <w:jc w:val="center"/>
              <w:rPr>
                <w:szCs w:val="24"/>
                <w:lang w:eastAsia="lt-LT"/>
              </w:rPr>
            </w:pPr>
          </w:p>
        </w:tc>
        <w:tc>
          <w:tcPr>
            <w:tcW w:w="284" w:type="dxa"/>
            <w:tcBorders>
              <w:top w:val="nil"/>
              <w:left w:val="dotted" w:sz="4" w:space="0" w:color="A6A6A6" w:themeColor="background1" w:themeShade="A6"/>
              <w:bottom w:val="nil"/>
              <w:right w:val="dotted" w:sz="4" w:space="0" w:color="A6A6A6" w:themeColor="background1" w:themeShade="A6"/>
            </w:tcBorders>
            <w:vAlign w:val="center"/>
          </w:tcPr>
          <w:p>
            <w:pPr>
              <w:jc w:val="center"/>
              <w:rPr>
                <w:szCs w:val="24"/>
                <w:lang w:eastAsia="lt-LT"/>
              </w:rPr>
            </w:pPr>
          </w:p>
        </w:tc>
        <w:tc>
          <w:tcPr>
            <w:tcW w:w="4928" w:type="dxa"/>
            <w:gridSpan w:val="10"/>
            <w:vMerge/>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noWrap/>
            <w:tcFitText/>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Height w:val="284"/>
        </w:trPr>
        <w:tc>
          <w:tcPr>
            <w:tcW w:w="4820" w:type="dxa"/>
            <w:gridSpan w:val="12"/>
            <w:vMerge/>
            <w:tcBorders>
              <w:top w:val="single" w:sz="4" w:space="0" w:color="auto"/>
              <w:left w:val="dotted" w:sz="4" w:space="0" w:color="A6A6A6" w:themeColor="background1" w:themeShade="A6"/>
              <w:bottom w:val="single" w:sz="4" w:space="0" w:color="auto"/>
              <w:right w:val="dotted" w:sz="4" w:space="0" w:color="A6A6A6" w:themeColor="background1" w:themeShade="A6"/>
            </w:tcBorders>
            <w:vAlign w:val="center"/>
          </w:tcPr>
          <w:p>
            <w:pPr>
              <w:jc w:val="center"/>
              <w:rPr>
                <w:sz w:val="20"/>
                <w:lang w:eastAsia="lt-LT"/>
              </w:rPr>
            </w:pPr>
          </w:p>
        </w:tc>
        <w:tc>
          <w:tcPr>
            <w:tcW w:w="284" w:type="dxa"/>
            <w:tcBorders>
              <w:top w:val="nil"/>
              <w:left w:val="dotted" w:sz="4" w:space="0" w:color="A6A6A6" w:themeColor="background1" w:themeShade="A6"/>
              <w:bottom w:val="nil"/>
              <w:right w:val="dotted" w:sz="4" w:space="0" w:color="A6A6A6" w:themeColor="background1" w:themeShade="A6"/>
            </w:tcBorders>
            <w:vAlign w:val="center"/>
          </w:tcPr>
          <w:p>
            <w:pPr>
              <w:jc w:val="center"/>
              <w:rPr>
                <w:sz w:val="20"/>
                <w:lang w:eastAsia="lt-LT"/>
              </w:rPr>
            </w:pPr>
          </w:p>
        </w:tc>
        <w:tc>
          <w:tcPr>
            <w:tcW w:w="4928" w:type="dxa"/>
            <w:gridSpan w:val="10"/>
            <w:vMerge/>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noWrap/>
            <w:tcFitText/>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Height w:hRule="exact" w:val="987"/>
        </w:trPr>
        <w:tc>
          <w:tcPr>
            <w:tcW w:w="4820" w:type="dxa"/>
            <w:gridSpan w:val="12"/>
            <w:vMerge/>
            <w:tcBorders>
              <w:top w:val="single" w:sz="4" w:space="0" w:color="auto"/>
              <w:left w:val="dotted" w:sz="4" w:space="0" w:color="A6A6A6" w:themeColor="background1" w:themeShade="A6"/>
              <w:bottom w:val="single" w:sz="4" w:space="0" w:color="auto"/>
              <w:right w:val="dotted" w:sz="4" w:space="0" w:color="A6A6A6" w:themeColor="background1" w:themeShade="A6"/>
            </w:tcBorders>
            <w:vAlign w:val="center"/>
          </w:tcPr>
          <w:p>
            <w:pPr>
              <w:jc w:val="center"/>
              <w:rPr>
                <w:sz w:val="28"/>
                <w:szCs w:val="28"/>
                <w:lang w:eastAsia="lt-LT"/>
              </w:rPr>
            </w:pPr>
          </w:p>
        </w:tc>
        <w:tc>
          <w:tcPr>
            <w:tcW w:w="284" w:type="dxa"/>
            <w:tcBorders>
              <w:top w:val="nil"/>
              <w:left w:val="dotted" w:sz="4" w:space="0" w:color="A6A6A6" w:themeColor="background1" w:themeShade="A6"/>
              <w:bottom w:val="nil"/>
              <w:right w:val="dotted" w:sz="4" w:space="0" w:color="A6A6A6" w:themeColor="background1" w:themeShade="A6"/>
            </w:tcBorders>
            <w:vAlign w:val="center"/>
          </w:tcPr>
          <w:p>
            <w:pPr>
              <w:jc w:val="center"/>
              <w:rPr>
                <w:sz w:val="20"/>
                <w:lang w:eastAsia="lt-LT"/>
              </w:rPr>
            </w:pPr>
          </w:p>
        </w:tc>
        <w:tc>
          <w:tcPr>
            <w:tcW w:w="4928" w:type="dxa"/>
            <w:gridSpan w:val="10"/>
            <w:vMerge/>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noWrap/>
            <w:tcFitText/>
            <w:vAlign w:val="center"/>
          </w:tcPr>
          <w:p>
            <w:pPr>
              <w:jc w:val="center"/>
              <w:rPr>
                <w:szCs w:val="24"/>
                <w:lang w:eastAsia="lt-L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Pr>
        <w:tc>
          <w:tcPr>
            <w:tcW w:w="2411" w:type="dxa"/>
            <w:gridSpan w:val="4"/>
            <w:tcBorders>
              <w:top w:val="single" w:sz="4" w:space="0" w:color="auto"/>
              <w:left w:val="single" w:sz="4" w:space="0" w:color="auto"/>
              <w:bottom w:val="single" w:sz="4" w:space="0" w:color="auto"/>
              <w:right w:val="single" w:sz="4" w:space="0" w:color="auto"/>
            </w:tcBorders>
            <w:vAlign w:val="center"/>
          </w:tcPr>
          <w:p>
            <w:pPr>
              <w:jc w:val="center"/>
              <w:rPr>
                <w:sz w:val="28"/>
                <w:szCs w:val="28"/>
                <w:lang w:val="en-US" w:eastAsia="lt-LT"/>
              </w:rPr>
            </w:pPr>
            <w:r>
              <w:rPr>
                <w:sz w:val="20"/>
                <w:lang w:eastAsia="lt-LT"/>
              </w:rPr>
              <w:t xml:space="preserve">Didžiausias leistas, </w:t>
            </w:r>
            <w:r>
              <w:rPr>
                <w:sz w:val="20"/>
                <w:lang w:val="en-US" w:eastAsia="lt-LT"/>
              </w:rPr>
              <w:t>%</w:t>
            </w:r>
          </w:p>
        </w:tc>
        <w:tc>
          <w:tcPr>
            <w:tcW w:w="2409" w:type="dxa"/>
            <w:gridSpan w:val="8"/>
            <w:tcBorders>
              <w:top w:val="single" w:sz="4" w:space="0" w:color="auto"/>
              <w:left w:val="single" w:sz="4" w:space="0" w:color="auto"/>
              <w:right w:val="single" w:sz="4" w:space="0" w:color="auto"/>
            </w:tcBorders>
            <w:vAlign w:val="center"/>
          </w:tcPr>
          <w:p>
            <w:pPr>
              <w:jc w:val="center"/>
              <w:rPr>
                <w:sz w:val="28"/>
                <w:szCs w:val="28"/>
                <w:lang w:eastAsia="lt-LT"/>
              </w:rPr>
            </w:pPr>
            <w:r>
              <w:rPr>
                <w:sz w:val="20"/>
                <w:lang w:eastAsia="lt-LT"/>
              </w:rPr>
              <w:t xml:space="preserve">Išmatuotas, </w:t>
            </w:r>
            <w:r>
              <w:rPr>
                <w:sz w:val="20"/>
                <w:lang w:val="en-US" w:eastAsia="lt-LT"/>
              </w:rPr>
              <w:t>%</w:t>
            </w:r>
          </w:p>
        </w:tc>
        <w:tc>
          <w:tcPr>
            <w:tcW w:w="284" w:type="dxa"/>
            <w:tcBorders>
              <w:top w:val="nil"/>
              <w:left w:val="single" w:sz="4" w:space="0" w:color="auto"/>
              <w:bottom w:val="nil"/>
              <w:right w:val="single" w:sz="4" w:space="0" w:color="auto"/>
            </w:tcBorders>
            <w:vAlign w:val="center"/>
          </w:tcPr>
          <w:p>
            <w:pPr>
              <w:jc w:val="center"/>
              <w:rPr>
                <w:sz w:val="20"/>
                <w:lang w:eastAsia="lt-LT"/>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pPr>
              <w:jc w:val="center"/>
              <w:rPr>
                <w:sz w:val="20"/>
                <w:lang w:eastAsia="lt-LT"/>
              </w:rPr>
            </w:pPr>
            <w:r>
              <w:rPr>
                <w:sz w:val="20"/>
                <w:lang w:eastAsia="lt-LT"/>
              </w:rPr>
              <w:t>Didžiausia leista, dBr</w:t>
            </w:r>
          </w:p>
        </w:tc>
        <w:tc>
          <w:tcPr>
            <w:tcW w:w="2377" w:type="dxa"/>
            <w:gridSpan w:val="5"/>
            <w:tcBorders>
              <w:top w:val="single" w:sz="4" w:space="0" w:color="auto"/>
              <w:left w:val="single" w:sz="4" w:space="0" w:color="auto"/>
              <w:bottom w:val="single" w:sz="4" w:space="0" w:color="auto"/>
              <w:right w:val="single" w:sz="4" w:space="0" w:color="auto"/>
            </w:tcBorders>
            <w:vAlign w:val="center"/>
          </w:tcPr>
          <w:p>
            <w:pPr>
              <w:jc w:val="center"/>
              <w:rPr>
                <w:sz w:val="20"/>
                <w:lang w:eastAsia="lt-LT"/>
              </w:rPr>
            </w:pPr>
            <w:r>
              <w:rPr>
                <w:sz w:val="20"/>
                <w:lang w:eastAsia="lt-LT"/>
              </w:rPr>
              <w:t>Išmatuota, dBr</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1" w:type="dxa"/>
          <w:cantSplit/>
        </w:trPr>
        <w:tc>
          <w:tcPr>
            <w:tcW w:w="2411" w:type="dxa"/>
            <w:gridSpan w:val="4"/>
            <w:tcBorders>
              <w:top w:val="single" w:sz="4" w:space="0" w:color="auto"/>
              <w:left w:val="single" w:sz="4" w:space="0" w:color="auto"/>
              <w:right w:val="single" w:sz="4" w:space="0" w:color="auto"/>
            </w:tcBorders>
            <w:vAlign w:val="center"/>
          </w:tcPr>
          <w:p>
            <w:pPr>
              <w:rPr>
                <w:sz w:val="4"/>
                <w:szCs w:val="4"/>
              </w:rPr>
            </w:pPr>
          </w:p>
          <w:p>
            <w:pPr>
              <w:jc w:val="center"/>
              <w:rPr>
                <w:sz w:val="20"/>
                <w:lang w:eastAsia="lt-LT"/>
              </w:rPr>
            </w:pPr>
            <w:r>
              <w:rPr>
                <w:sz w:val="20"/>
                <w:lang w:eastAsia="lt-LT"/>
              </w:rPr>
              <w:t>10</w:t>
            </w:r>
            <w:r>
              <w:rPr>
                <w:sz w:val="20"/>
                <w:vertAlign w:val="superscript"/>
                <w:lang w:eastAsia="lt-LT"/>
              </w:rPr>
              <w:t>-4</w:t>
            </w:r>
          </w:p>
        </w:tc>
        <w:tc>
          <w:tcPr>
            <w:tcW w:w="2409" w:type="dxa"/>
            <w:gridSpan w:val="8"/>
            <w:tcBorders>
              <w:left w:val="single" w:sz="4" w:space="0" w:color="auto"/>
              <w:right w:val="single" w:sz="4" w:space="0" w:color="auto"/>
            </w:tcBorders>
            <w:vAlign w:val="center"/>
          </w:tcPr>
          <w:p>
            <w:pPr>
              <w:rPr>
                <w:sz w:val="4"/>
                <w:szCs w:val="4"/>
              </w:rPr>
            </w:pPr>
          </w:p>
          <w:p>
            <w:pPr>
              <w:jc w:val="center"/>
              <w:rPr>
                <w:sz w:val="20"/>
                <w:lang w:eastAsia="lt-LT"/>
              </w:rPr>
            </w:pPr>
          </w:p>
        </w:tc>
        <w:tc>
          <w:tcPr>
            <w:tcW w:w="284" w:type="dxa"/>
            <w:tcBorders>
              <w:top w:val="nil"/>
              <w:left w:val="single" w:sz="4" w:space="0" w:color="auto"/>
              <w:bottom w:val="nil"/>
              <w:right w:val="single" w:sz="4" w:space="0" w:color="auto"/>
            </w:tcBorders>
            <w:vAlign w:val="center"/>
          </w:tcPr>
          <w:p>
            <w:pPr>
              <w:rPr>
                <w:sz w:val="4"/>
                <w:szCs w:val="4"/>
              </w:rPr>
            </w:pPr>
          </w:p>
          <w:p>
            <w:pPr>
              <w:jc w:val="center"/>
              <w:rPr>
                <w:sz w:val="20"/>
                <w:lang w:eastAsia="lt-LT"/>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pPr>
              <w:rPr>
                <w:sz w:val="4"/>
                <w:szCs w:val="4"/>
              </w:rPr>
            </w:pPr>
          </w:p>
          <w:p>
            <w:pPr>
              <w:jc w:val="center"/>
              <w:rPr>
                <w:sz w:val="20"/>
                <w:lang w:eastAsia="lt-LT"/>
              </w:rPr>
            </w:pPr>
            <w:r>
              <w:rPr>
                <w:sz w:val="20"/>
                <w:lang w:eastAsia="lt-LT"/>
              </w:rPr>
              <w:t>0</w:t>
            </w:r>
          </w:p>
        </w:tc>
        <w:tc>
          <w:tcPr>
            <w:tcW w:w="2377" w:type="dxa"/>
            <w:gridSpan w:val="5"/>
            <w:tcBorders>
              <w:top w:val="single" w:sz="4" w:space="0" w:color="auto"/>
              <w:left w:val="single" w:sz="4" w:space="0" w:color="auto"/>
              <w:bottom w:val="single" w:sz="4" w:space="0" w:color="auto"/>
              <w:right w:val="single" w:sz="4" w:space="0" w:color="auto"/>
            </w:tcBorders>
            <w:vAlign w:val="center"/>
          </w:tcPr>
          <w:p>
            <w:pPr>
              <w:rPr>
                <w:sz w:val="4"/>
                <w:szCs w:val="4"/>
              </w:rPr>
            </w:pPr>
          </w:p>
          <w:p>
            <w:pPr>
              <w:jc w:val="center"/>
              <w:rPr>
                <w:sz w:val="20"/>
                <w:lang w:eastAsia="lt-LT"/>
              </w:rPr>
            </w:pPr>
          </w:p>
        </w:tc>
      </w:tr>
    </w:tbl>
    <w:p>
      <w:pPr>
        <w:rPr>
          <w:sz w:val="14"/>
          <w:szCs w:val="14"/>
        </w:rPr>
      </w:pPr>
    </w:p>
    <w:p>
      <w:pPr>
        <w:rPr>
          <w:rFonts w:ascii="Times New Roman Bold" w:hAnsi="Times New Roman Bold"/>
          <w:i/>
          <w:spacing w:val="6"/>
          <w:sz w:val="20"/>
        </w:rPr>
      </w:pPr>
      <w:r>
        <w:rPr>
          <w:rFonts w:ascii="Times New Roman Bold" w:hAnsi="Times New Roman Bold"/>
          <w:b/>
          <w:spacing w:val="6"/>
          <w:sz w:val="20"/>
        </w:rPr>
        <w:t xml:space="preserve">5. </w:t>
      </w:r>
      <w:r>
        <w:rPr>
          <w:rFonts w:ascii="Times New Roman Bold" w:hAnsi="Times New Roman Bold"/>
          <w:b/>
          <w:caps/>
          <w:spacing w:val="6"/>
          <w:sz w:val="20"/>
        </w:rPr>
        <w:t>naudoti matavimo prietaisai</w:t>
      </w:r>
    </w:p>
    <w:p>
      <w:pPr>
        <w:rPr>
          <w:sz w:val="4"/>
          <w:szCs w:val="4"/>
        </w:rPr>
      </w:pPr>
    </w:p>
    <w:tbl>
      <w:tblPr>
        <w:tblW w:w="0" w:type="auto"/>
        <w:tblInd w:w="-176" w:type="dxa"/>
        <w:tblLook w:val="04A0" w:firstRow="1" w:lastRow="0" w:firstColumn="1" w:lastColumn="0" w:noHBand="0" w:noVBand="1"/>
      </w:tblPr>
      <w:tblGrid>
        <w:gridCol w:w="9464"/>
      </w:tblGrid>
      <w:tr>
        <w:tc>
          <w:tcPr>
            <w:tcW w:w="10030" w:type="dxa"/>
            <w:tcBorders>
              <w:bottom w:val="dotted" w:sz="4" w:space="0" w:color="A6A6A6" w:themeColor="background1" w:themeShade="A6"/>
            </w:tcBorders>
          </w:tcPr>
          <w:p>
            <w:pPr>
              <w:rPr>
                <w:sz w:val="6"/>
                <w:szCs w:val="6"/>
              </w:rPr>
            </w:pPr>
          </w:p>
          <w:p>
            <w:pPr>
              <w:jc w:val="center"/>
              <w:rPr>
                <w:sz w:val="20"/>
                <w:lang w:eastAsia="lt-LT"/>
              </w:rPr>
            </w:pPr>
          </w:p>
        </w:tc>
      </w:tr>
      <w:tr>
        <w:tc>
          <w:tcPr>
            <w:tcW w:w="10030" w:type="dxa"/>
            <w:tcBorders>
              <w:top w:val="dotted" w:sz="4" w:space="0" w:color="A6A6A6" w:themeColor="background1" w:themeShade="A6"/>
              <w:bottom w:val="dotted" w:sz="4" w:space="0" w:color="A6A6A6" w:themeColor="background1" w:themeShade="A6"/>
            </w:tcBorders>
          </w:tcPr>
          <w:p>
            <w:pPr>
              <w:rPr>
                <w:sz w:val="6"/>
                <w:szCs w:val="6"/>
              </w:rPr>
            </w:pPr>
          </w:p>
          <w:p>
            <w:pPr>
              <w:jc w:val="center"/>
              <w:rPr>
                <w:sz w:val="20"/>
                <w:lang w:eastAsia="lt-LT"/>
              </w:rPr>
            </w:pPr>
          </w:p>
        </w:tc>
      </w:tr>
      <w:tr>
        <w:tc>
          <w:tcPr>
            <w:tcW w:w="10030" w:type="dxa"/>
            <w:tcBorders>
              <w:top w:val="dotted" w:sz="4" w:space="0" w:color="A6A6A6" w:themeColor="background1" w:themeShade="A6"/>
            </w:tcBorders>
          </w:tcPr>
          <w:p>
            <w:pPr>
              <w:jc w:val="center"/>
              <w:rPr>
                <w:rFonts w:ascii="Times New Roman Bold" w:hAnsi="Times New Roman Bold"/>
                <w:b/>
                <w:spacing w:val="6"/>
                <w:sz w:val="16"/>
                <w:szCs w:val="16"/>
                <w:lang w:eastAsia="lt-LT"/>
              </w:rPr>
            </w:pPr>
            <w:r>
              <w:rPr>
                <w:sz w:val="16"/>
                <w:szCs w:val="16"/>
                <w:lang w:eastAsia="lt-LT"/>
              </w:rPr>
              <w:t>(pavadinimas, gamintojas, tipas, serijos Nr.)</w:t>
            </w:r>
          </w:p>
        </w:tc>
      </w:tr>
    </w:tbl>
    <w:p>
      <w:pPr>
        <w:rPr>
          <w:sz w:val="6"/>
          <w:szCs w:val="6"/>
        </w:rPr>
      </w:pPr>
    </w:p>
    <w:p>
      <w:pPr>
        <w:rPr>
          <w:rFonts w:ascii="Times New Roman Bold" w:hAnsi="Times New Roman Bold"/>
          <w:b/>
          <w:caps/>
          <w:spacing w:val="6"/>
          <w:sz w:val="20"/>
        </w:rPr>
      </w:pPr>
      <w:r>
        <w:rPr>
          <w:rFonts w:ascii="Times New Roman Bold" w:hAnsi="Times New Roman Bold"/>
          <w:b/>
          <w:spacing w:val="6"/>
          <w:sz w:val="20"/>
        </w:rPr>
        <w:t xml:space="preserve">6. </w:t>
      </w:r>
      <w:r>
        <w:rPr>
          <w:rFonts w:ascii="Times New Roman Bold" w:hAnsi="Times New Roman Bold"/>
          <w:b/>
          <w:caps/>
          <w:spacing w:val="6"/>
          <w:sz w:val="20"/>
        </w:rPr>
        <w:t>Matavo</w:t>
      </w:r>
    </w:p>
    <w:p>
      <w:pPr>
        <w:rPr>
          <w:sz w:val="4"/>
          <w:szCs w:val="4"/>
        </w:rPr>
      </w:pPr>
    </w:p>
    <w:tbl>
      <w:tblPr>
        <w:tblW w:w="0" w:type="auto"/>
        <w:tblInd w:w="-176" w:type="dxa"/>
        <w:tblLook w:val="04A0" w:firstRow="1" w:lastRow="0" w:firstColumn="1" w:lastColumn="0" w:noHBand="0" w:noVBand="1"/>
      </w:tblPr>
      <w:tblGrid>
        <w:gridCol w:w="4005"/>
        <w:gridCol w:w="279"/>
        <w:gridCol w:w="1841"/>
        <w:gridCol w:w="265"/>
        <w:gridCol w:w="3074"/>
      </w:tblGrid>
      <w:tr>
        <w:trPr>
          <w:trHeight w:val="340"/>
        </w:trPr>
        <w:tc>
          <w:tcPr>
            <w:tcW w:w="4265" w:type="dxa"/>
            <w:tcBorders>
              <w:bottom w:val="dotted" w:sz="4" w:space="0" w:color="A6A6A6" w:themeColor="background1" w:themeShade="A6"/>
            </w:tcBorders>
            <w:vAlign w:val="center"/>
          </w:tcPr>
          <w:p>
            <w:pPr>
              <w:jc w:val="center"/>
              <w:rPr>
                <w:sz w:val="20"/>
                <w:lang w:eastAsia="lt-LT"/>
              </w:rPr>
            </w:pPr>
          </w:p>
        </w:tc>
        <w:tc>
          <w:tcPr>
            <w:tcW w:w="284" w:type="dxa"/>
            <w:vAlign w:val="center"/>
          </w:tcPr>
          <w:p>
            <w:pPr>
              <w:jc w:val="center"/>
              <w:rPr>
                <w:sz w:val="20"/>
                <w:lang w:eastAsia="lt-LT"/>
              </w:rPr>
            </w:pPr>
          </w:p>
        </w:tc>
        <w:tc>
          <w:tcPr>
            <w:tcW w:w="1934" w:type="dxa"/>
            <w:tcBorders>
              <w:bottom w:val="dotted" w:sz="4" w:space="0" w:color="A6A6A6" w:themeColor="background1" w:themeShade="A6"/>
            </w:tcBorders>
            <w:vAlign w:val="center"/>
          </w:tcPr>
          <w:p>
            <w:pPr>
              <w:jc w:val="center"/>
              <w:rPr>
                <w:sz w:val="20"/>
                <w:lang w:eastAsia="lt-LT"/>
              </w:rPr>
            </w:pPr>
          </w:p>
        </w:tc>
        <w:tc>
          <w:tcPr>
            <w:tcW w:w="269" w:type="dxa"/>
            <w:vAlign w:val="center"/>
          </w:tcPr>
          <w:p>
            <w:pPr>
              <w:jc w:val="center"/>
              <w:rPr>
                <w:sz w:val="20"/>
                <w:lang w:eastAsia="lt-LT"/>
              </w:rPr>
            </w:pPr>
          </w:p>
        </w:tc>
        <w:tc>
          <w:tcPr>
            <w:tcW w:w="3279" w:type="dxa"/>
            <w:tcBorders>
              <w:bottom w:val="dotted" w:sz="4" w:space="0" w:color="A6A6A6" w:themeColor="background1" w:themeShade="A6"/>
            </w:tcBorders>
            <w:vAlign w:val="center"/>
          </w:tcPr>
          <w:p>
            <w:pPr>
              <w:jc w:val="center"/>
              <w:rPr>
                <w:sz w:val="20"/>
                <w:lang w:eastAsia="lt-LT"/>
              </w:rPr>
            </w:pPr>
          </w:p>
        </w:tc>
      </w:tr>
      <w:tr>
        <w:tc>
          <w:tcPr>
            <w:tcW w:w="4265" w:type="dxa"/>
            <w:tcBorders>
              <w:top w:val="dotted" w:sz="4" w:space="0" w:color="A6A6A6" w:themeColor="background1" w:themeShade="A6"/>
            </w:tcBorders>
          </w:tcPr>
          <w:p>
            <w:pPr>
              <w:jc w:val="center"/>
              <w:rPr>
                <w:sz w:val="16"/>
                <w:szCs w:val="16"/>
                <w:lang w:eastAsia="lt-LT"/>
              </w:rPr>
            </w:pPr>
            <w:r>
              <w:rPr>
                <w:sz w:val="16"/>
                <w:szCs w:val="16"/>
                <w:lang w:eastAsia="lt-LT"/>
              </w:rPr>
              <w:t>(pareigų pavadinimas)</w:t>
            </w:r>
          </w:p>
        </w:tc>
        <w:tc>
          <w:tcPr>
            <w:tcW w:w="284" w:type="dxa"/>
          </w:tcPr>
          <w:p>
            <w:pPr>
              <w:jc w:val="center"/>
              <w:rPr>
                <w:sz w:val="16"/>
                <w:szCs w:val="16"/>
                <w:lang w:eastAsia="lt-LT"/>
              </w:rPr>
            </w:pPr>
          </w:p>
        </w:tc>
        <w:tc>
          <w:tcPr>
            <w:tcW w:w="1934" w:type="dxa"/>
            <w:tcBorders>
              <w:top w:val="dotted" w:sz="4" w:space="0" w:color="A6A6A6" w:themeColor="background1" w:themeShade="A6"/>
            </w:tcBorders>
          </w:tcPr>
          <w:p>
            <w:pPr>
              <w:jc w:val="center"/>
              <w:rPr>
                <w:sz w:val="16"/>
                <w:szCs w:val="16"/>
                <w:lang w:eastAsia="lt-LT"/>
              </w:rPr>
            </w:pPr>
            <w:r>
              <w:rPr>
                <w:sz w:val="16"/>
                <w:szCs w:val="16"/>
                <w:lang w:eastAsia="lt-LT"/>
              </w:rPr>
              <w:t>(parašas)</w:t>
            </w:r>
          </w:p>
        </w:tc>
        <w:tc>
          <w:tcPr>
            <w:tcW w:w="269" w:type="dxa"/>
          </w:tcPr>
          <w:p>
            <w:pPr>
              <w:jc w:val="center"/>
              <w:rPr>
                <w:sz w:val="16"/>
                <w:szCs w:val="16"/>
                <w:lang w:eastAsia="lt-LT"/>
              </w:rPr>
            </w:pPr>
          </w:p>
        </w:tc>
        <w:tc>
          <w:tcPr>
            <w:tcW w:w="3279" w:type="dxa"/>
            <w:tcBorders>
              <w:top w:val="dotted" w:sz="4" w:space="0" w:color="A6A6A6" w:themeColor="background1" w:themeShade="A6"/>
            </w:tcBorders>
          </w:tcPr>
          <w:p>
            <w:pPr>
              <w:jc w:val="center"/>
              <w:rPr>
                <w:sz w:val="16"/>
                <w:szCs w:val="16"/>
                <w:lang w:eastAsia="lt-LT"/>
              </w:rPr>
            </w:pPr>
            <w:r>
              <w:rPr>
                <w:sz w:val="16"/>
                <w:szCs w:val="16"/>
                <w:lang w:eastAsia="lt-LT"/>
              </w:rPr>
              <w:t>(vardas ir pavardė)</w:t>
            </w:r>
          </w:p>
        </w:tc>
      </w:tr>
    </w:tbl>
    <w:p>
      <w:pPr>
        <w:rPr>
          <w:szCs w:val="24"/>
          <w:lang w:val="en-GB"/>
        </w:rPr>
      </w:pPr>
    </w:p>
    <w:p>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
      <w:pPr>
        <w:pStyle w:val="PlainText"/>
        <w:ind w:firstLine="567"/>
        <w:jc w:val="both"/>
        <w:rPr>
          <w:rFonts w:ascii="Times New Roman" w:hAnsi="Times New Roman"/>
          <w:b/>
          <w:bCs/>
          <w:sz w:val="22"/>
        </w:rPr>
      </w:pPr>
      <w:r>
        <w:rPr>
          <w:rFonts w:ascii="Times New Roman" w:hAnsi="Times New Roman"/>
          <w:b/>
          <w:sz w:val="22"/>
        </w:rPr>
        <w:t>6</w:t>
      </w:r>
      <w:r>
        <w:rPr>
          <w:rFonts w:ascii="Times New Roman" w:hAnsi="Times New Roman"/>
          <w:b/>
          <w:sz w:val="22"/>
        </w:rPr>
        <w:t xml:space="preserve"> priedas.</w:t>
      </w:r>
      <w:r>
        <w:rPr>
          <w:rFonts w:ascii="Times New Roman" w:eastAsia="MS Mincho" w:hAnsi="Times New Roman"/>
          <w:sz w:val="20"/>
          <w:i/>
          <w:iCs/>
        </w:rPr>
        <w:t xml:space="preserve"> Neteko galios nuo 2017-05-01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
      <w:pPr>
        <w:pStyle w:val="PlainText"/>
        <w:ind w:firstLine="567"/>
        <w:jc w:val="both"/>
        <w:rPr>
          <w:rFonts w:ascii="Times New Roman" w:hAnsi="Times New Roman"/>
          <w:b/>
          <w:bCs/>
          <w:sz w:val="22"/>
        </w:rPr>
      </w:pPr>
      <w:r>
        <w:rPr>
          <w:rFonts w:ascii="Times New Roman" w:hAnsi="Times New Roman"/>
          <w:b/>
          <w:sz w:val="22"/>
        </w:rPr>
        <w:t>7</w:t>
      </w:r>
      <w:r>
        <w:rPr>
          <w:rFonts w:ascii="Times New Roman" w:hAnsi="Times New Roman"/>
          <w:b/>
          <w:sz w:val="22"/>
        </w:rPr>
        <w:t xml:space="preserve"> priedas.</w:t>
      </w:r>
      <w:r>
        <w:rPr>
          <w:rFonts w:ascii="Times New Roman" w:eastAsia="MS Mincho" w:hAnsi="Times New Roman"/>
          <w:sz w:val="20"/>
          <w:i/>
          <w:iCs/>
        </w:rPr>
        <w:t xml:space="preserve"> Neteko galios nuo 2017-05-01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
      <w:pPr>
        <w:pStyle w:val="PlainText"/>
        <w:ind w:firstLine="567"/>
        <w:jc w:val="both"/>
        <w:rPr>
          <w:rFonts w:ascii="Times New Roman" w:hAnsi="Times New Roman"/>
          <w:b/>
          <w:bCs/>
          <w:sz w:val="22"/>
        </w:rPr>
      </w:pPr>
      <w:r>
        <w:rPr>
          <w:rFonts w:ascii="Times New Roman" w:hAnsi="Times New Roman"/>
          <w:b/>
          <w:sz w:val="22"/>
        </w:rPr>
        <w:t>8</w:t>
      </w:r>
      <w:r>
        <w:rPr>
          <w:rFonts w:ascii="Times New Roman" w:hAnsi="Times New Roman"/>
          <w:b/>
          <w:sz w:val="22"/>
        </w:rPr>
        <w:t xml:space="preserve"> priedas.</w:t>
      </w:r>
      <w:r>
        <w:rPr>
          <w:rFonts w:ascii="Times New Roman" w:eastAsia="MS Mincho" w:hAnsi="Times New Roman"/>
          <w:sz w:val="20"/>
          <w:i/>
          <w:iCs/>
        </w:rPr>
        <w:t xml:space="preserve"> Neteko galios nuo 2017-05-01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4ae8f20e48611e68503b67e3b82e8bd">
        <w:r w:rsidRPr="00532B9F">
          <w:rPr>
            <w:rFonts w:ascii="Times New Roman" w:eastAsia="MS Mincho" w:hAnsi="Times New Roman"/>
            <w:sz w:val="20"/>
            <w:i/>
            <w:iCs/>
            <w:color w:val="0000FF" w:themeColor="hyperlink"/>
            <w:u w:val="single"/>
          </w:rPr>
          <w:t>1V-102</w:t>
        </w:r>
      </w:fldSimple>
      <w:r>
        <w:rPr>
          <w:rFonts w:ascii="Times New Roman" w:eastAsia="MS Mincho" w:hAnsi="Times New Roman"/>
          <w:sz w:val="20"/>
          <w:i/>
          <w:iCs/>
        </w:rPr>
        <w:t>,
2017-01-27,
paskelbta TAR 2017-01-27, i. k. 2017-01596        </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838C36F0D52F">
        <w:r w:rsidRPr="00532B9F">
          <w:rPr>
            <w:rFonts w:ascii="Times New Roman" w:eastAsia="MS Mincho" w:hAnsi="Times New Roman"/>
            <w:sz w:val="20"/>
            <w:i/>
            <w:iCs/>
            <w:color w:val="0000FF" w:themeColor="hyperlink"/>
            <w:u w:val="single"/>
          </w:rPr>
          <w:t>1V-10</w:t>
        </w:r>
      </w:fldSimple>
      <w:r>
        <w:rPr>
          <w:rFonts w:ascii="Times New Roman" w:eastAsia="MS Mincho" w:hAnsi="Times New Roman"/>
          <w:sz w:val="20"/>
          <w:i/>
          <w:iCs/>
        </w:rPr>
        <w:t>,
2011-01-06,
Žin., 2011, Nr.
5-199 (2011-01-13), i. k. 11111RRISAK0001V-10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838C36F0D52F">
        <w:r w:rsidRPr="00532B9F">
          <w:rPr>
            <w:rFonts w:ascii="Times New Roman" w:eastAsia="MS Mincho" w:hAnsi="Times New Roman"/>
            <w:sz w:val="20"/>
            <w:iCs/>
            <w:color w:val="0000FF" w:themeColor="hyperlink"/>
            <w:u w:val="single"/>
          </w:rPr>
          <w:t>1V-10</w:t>
        </w:r>
      </w:fldSimple>
      <w:r>
        <w:rPr>
          <w:rFonts w:ascii="Times New Roman" w:eastAsia="MS Mincho" w:hAnsi="Times New Roman"/>
          <w:sz w:val="20"/>
          <w:iCs/>
        </w:rPr>
        <w:t>,
2011-01-06,
Žin., 2011, Nr.
5-199 (2011-01-13), i. k. 11111RRISAK0001V-10                </w:t>
      </w:r>
    </w:p>
    <w:p>
      <w:pPr>
        <w:jc w:val="both"/>
        <w:rPr>
          <w:rFonts w:ascii="Times New Roman" w:hAnsi="Times New Roman"/>
        </w:rPr>
      </w:pPr>
      <w:r>
        <w:rPr>
          <w:rFonts w:ascii="Times New Roman" w:hAnsi="Times New Roman"/>
          <w:sz w:val="20"/>
        </w:rPr>
        <w:t>Dėl Lietuvos Respublikos ryšių reguliavimo tarnybos direktoriaus 2008 m. vasario 5 d. įsakymo Nr. 1V-126 "Dėl Dažnio moduliavimo radijo programų transliavimo stočių spinduliuotės radijo dažnio didžiausio nuokrypio matavimo radijo stebėsenos stotyse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4ae8f20e48611e68503b67e3b82e8bd">
        <w:r w:rsidRPr="00532B9F">
          <w:rPr>
            <w:rFonts w:ascii="Times New Roman" w:eastAsia="MS Mincho" w:hAnsi="Times New Roman"/>
            <w:sz w:val="20"/>
            <w:iCs/>
            <w:color w:val="0000FF" w:themeColor="hyperlink"/>
            <w:u w:val="single"/>
          </w:rPr>
          <w:t>1V-102</w:t>
        </w:r>
      </w:fldSimple>
      <w:r>
        <w:rPr>
          <w:rFonts w:ascii="Times New Roman" w:eastAsia="MS Mincho" w:hAnsi="Times New Roman"/>
          <w:sz w:val="20"/>
          <w:iCs/>
        </w:rPr>
        <w:t>,
2017-01-27,
paskelbta TAR 2017-01-27, i. k. 2017-01596                </w:t>
      </w:r>
    </w:p>
    <w:p>
      <w:pPr>
        <w:jc w:val="both"/>
        <w:rPr>
          <w:rFonts w:ascii="Times New Roman" w:hAnsi="Times New Roman"/>
        </w:rPr>
      </w:pPr>
      <w:r>
        <w:rPr>
          <w:rFonts w:ascii="Times New Roman" w:hAnsi="Times New Roman"/>
          <w:sz w:val="20"/>
        </w:rPr>
        <w:t>Dėl Lietuvos Respublikos ryšių reguliavimo tarnybos direktoriaus 2008 m. vasario 5 d. įsakymo Nr. 1V-126 „Dėl Dažnio moduliavimo radijo programų transliavimo stočių spinduliuotės radijo dažnio nuokrypio matavimo radijo stebėsenos  stotyse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1134" w:bottom="1134" w:left="1701" w:header="709" w:footer="709" w:gutter="0"/>
      <w:cols w:space="708"/>
      <w:docGrid w:linePitch="326"/>
    </w:sectPr>
  </w:body>
</w:document>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2FF" w:usb1="42002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0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B91962"/>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oleObject" Target="embeddings/oleObject1.bin"/>
  <Relationship Id="rId10" Type="http://schemas.microsoft.com/office/2007/relationships/stylesWithEffects" Target="stylesWithEffects.xml"/>
  <Relationship Id="rId11" Type="http://schemas.openxmlformats.org/officeDocument/2006/relationships/theme" Target="theme/theme1.xml"/>
  <Relationship Id="rId12" Type="http://schemas.openxmlformats.org/officeDocument/2006/relationships/webSettings" Target="webSettings.xml"/>
  <Relationship Id="rId13" Type="http://schemas.openxmlformats.org/officeDocument/2006/relationships/chart" Target="charts/chart1.xml"/>
  <Relationship Id="rId14" Type="http://schemas.openxmlformats.org/officeDocument/2006/relationships/image" Target="media/image2.wmf"/>
  <Relationship Id="rId15" Type="http://schemas.openxmlformats.org/officeDocument/2006/relationships/oleObject" Target="embeddings/oleObject2.bin"/>
  <Relationship Id="rId16" Type="http://schemas.openxmlformats.org/officeDocument/2006/relationships/image" Target="media/image3.wmf"/>
  <Relationship Id="rId17" Type="http://schemas.openxmlformats.org/officeDocument/2006/relationships/oleObject" Target="embeddings/oleObject3.bin"/>
  <Relationship Id="rId18" Type="http://schemas.openxmlformats.org/officeDocument/2006/relationships/image" Target="media/image4.wmf"/>
  <Relationship Id="rId19" Type="http://schemas.openxmlformats.org/officeDocument/2006/relationships/oleObject" Target="embeddings/oleObject4.bin"/>
  <Relationship Id="rId2" Type="http://schemas.openxmlformats.org/officeDocument/2006/relationships/fontTable" Target="fontTable.xml"/>
  <Relationship Id="rId20" Type="http://schemas.openxmlformats.org/officeDocument/2006/relationships/image" Target="media/image2.png"/>
  <Relationship Id="rId21" Type="http://schemas.openxmlformats.org/officeDocument/2006/relationships/image" Target="media/image6.wmf"/>
  <Relationship Id="rId22" Type="http://schemas.openxmlformats.org/officeDocument/2006/relationships/oleObject" Target="embeddings/oleObject6.bin"/>
  <Relationship Id="rId3" Type="http://schemas.openxmlformats.org/officeDocument/2006/relationships/image" Target="media/image1.wmf"/>
  <Relationship Id="rId4" Type="http://schemas.openxmlformats.org/officeDocument/2006/relationships/image" Target="media/image3.jpeg"/>
  <Relationship Id="rId5" Type="http://schemas.openxmlformats.org/officeDocument/2006/relationships/image" Target="media/image6.png"/>
  <Relationship Id="rId6" Type="http://schemas.openxmlformats.org/officeDocument/2006/relationships/image" Target="media/image7.jpeg"/>
  <Relationship Id="rId7" Type="http://schemas.openxmlformats.org/officeDocument/2006/relationships/image" Target="media/image9.png"/>
  <Relationship Id="rId8" Type="http://schemas.openxmlformats.org/officeDocument/2006/relationships/settings" Target="settings.xml"/>
  <Relationship Id="rId9" Type="http://schemas.openxmlformats.org/officeDocument/2006/relationships/styles" Target="styles.xml"/>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chart1.xml><?xml version="1.0" encoding="utf-8"?>
<c:chartSpace xmlns:c="http://schemas.openxmlformats.org/drawingml/20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v>B=200 kHz</c:v>
          </c:tx>
          <c:spPr>
            <a:ln xmlns:a="http://schemas.openxmlformats.org/drawingml/2006/main" w="19050">
              <a:solidFill>
                <a:schemeClr val="tx1"/>
              </a:solidFill>
            </a:ln>
          </c:spPr>
          <c:marker>
            <c:symbol val="none"/>
          </c:marker>
          <c:xVal>
            <c:numRef>
              <c:f>Sheet1!$I$2:$I$6</c:f>
              <c:numCache>
                <c:formatCode>General</c:formatCode>
                <c:ptCount val="5"/>
                <c:pt idx="0">
                  <c:v>-350</c:v>
                </c:pt>
                <c:pt idx="1">
                  <c:v>-100</c:v>
                </c:pt>
                <c:pt idx="2">
                  <c:v>0</c:v>
                </c:pt>
                <c:pt idx="3">
                  <c:v>100</c:v>
                </c:pt>
                <c:pt idx="4">
                  <c:v>350</c:v>
                </c:pt>
              </c:numCache>
            </c:numRef>
          </c:xVal>
          <c:yVal>
            <c:numRef>
              <c:f>Sheet1!$L$2:$L$6</c:f>
              <c:numCache>
                <c:formatCode>General</c:formatCode>
                <c:ptCount val="5"/>
                <c:pt idx="0">
                  <c:v>-15</c:v>
                </c:pt>
                <c:pt idx="1">
                  <c:v>35</c:v>
                </c:pt>
                <c:pt idx="2">
                  <c:v>40</c:v>
                </c:pt>
                <c:pt idx="3">
                  <c:v>35</c:v>
                </c:pt>
                <c:pt idx="4">
                  <c:v>-15</c:v>
                </c:pt>
              </c:numCache>
            </c:numRef>
          </c:yVal>
          <c:smooth val="0"/>
          <c:extLst>
            <c:ext uri="{C3380CC4-5D6E-409C-BE32-E72D297353CC}">
              <c16:uniqueId xmlns:c16="http://schemas.microsoft.com/office/drawing/2014/chart" val="{00000000-5B6E-401C-8CFE-2BBD77C9750D}"/>
            </c:ext>
          </c:extLst>
        </c:ser>
        <c:ser>
          <c:idx val="0"/>
          <c:order val="1"/>
          <c:tx>
            <c:v>B=250 kHz</c:v>
          </c:tx>
          <c:spPr>
            <a:ln xmlns:a="http://schemas.openxmlformats.org/drawingml/2006/main" w="19050">
              <a:solidFill>
                <a:schemeClr val="tx1"/>
              </a:solidFill>
              <a:prstDash val="dash"/>
            </a:ln>
          </c:spPr>
          <c:marker>
            <c:symbol val="none"/>
          </c:marker>
          <c:xVal>
            <c:numRef>
              <c:f>Sheet1!$J$2:$J$6</c:f>
              <c:numCache>
                <c:formatCode>General</c:formatCode>
                <c:ptCount val="5"/>
                <c:pt idx="0">
                  <c:v>-375</c:v>
                </c:pt>
                <c:pt idx="1">
                  <c:v>-125</c:v>
                </c:pt>
                <c:pt idx="2">
                  <c:v>0</c:v>
                </c:pt>
                <c:pt idx="3">
                  <c:v>125</c:v>
                </c:pt>
                <c:pt idx="4">
                  <c:v>375</c:v>
                </c:pt>
              </c:numCache>
            </c:numRef>
          </c:xVal>
          <c:yVal>
            <c:numRef>
              <c:f>Sheet1!$L$2:$L$6</c:f>
              <c:numCache>
                <c:formatCode>General</c:formatCode>
                <c:ptCount val="5"/>
                <c:pt idx="0">
                  <c:v>-15</c:v>
                </c:pt>
                <c:pt idx="1">
                  <c:v>35</c:v>
                </c:pt>
                <c:pt idx="2">
                  <c:v>40</c:v>
                </c:pt>
                <c:pt idx="3">
                  <c:v>35</c:v>
                </c:pt>
                <c:pt idx="4">
                  <c:v>-15</c:v>
                </c:pt>
              </c:numCache>
            </c:numRef>
          </c:yVal>
          <c:smooth val="0"/>
          <c:extLst>
            <c:ext uri="{C3380CC4-5D6E-409C-BE32-E72D297353CC}">
              <c16:uniqueId xmlns:c16="http://schemas.microsoft.com/office/drawing/2014/chart" val="{00000001-5B6E-401C-8CFE-2BBD77C9750D}"/>
            </c:ext>
          </c:extLst>
        </c:ser>
        <c:ser>
          <c:idx val="2"/>
          <c:order val="2"/>
          <c:tx>
            <c:v>B=300 kHz</c:v>
          </c:tx>
          <c:spPr>
            <a:ln xmlns:a="http://schemas.openxmlformats.org/drawingml/2006/main" w="19050">
              <a:solidFill>
                <a:schemeClr val="tx1"/>
              </a:solidFill>
              <a:prstDash val="sysDash"/>
            </a:ln>
          </c:spPr>
          <c:marker>
            <c:symbol val="none"/>
          </c:marker>
          <c:xVal>
            <c:numRef>
              <c:f>Sheet1!$K$2:$K$6</c:f>
              <c:numCache>
                <c:formatCode>General</c:formatCode>
                <c:ptCount val="5"/>
                <c:pt idx="0">
                  <c:v>-400</c:v>
                </c:pt>
                <c:pt idx="1">
                  <c:v>-150</c:v>
                </c:pt>
                <c:pt idx="2">
                  <c:v>0</c:v>
                </c:pt>
                <c:pt idx="3">
                  <c:v>150</c:v>
                </c:pt>
                <c:pt idx="4">
                  <c:v>400</c:v>
                </c:pt>
              </c:numCache>
            </c:numRef>
          </c:xVal>
          <c:yVal>
            <c:numRef>
              <c:f>Sheet1!$L$2:$L$6</c:f>
              <c:numCache>
                <c:formatCode>General</c:formatCode>
                <c:ptCount val="5"/>
                <c:pt idx="0">
                  <c:v>-15</c:v>
                </c:pt>
                <c:pt idx="1">
                  <c:v>35</c:v>
                </c:pt>
                <c:pt idx="2">
                  <c:v>40</c:v>
                </c:pt>
                <c:pt idx="3">
                  <c:v>35</c:v>
                </c:pt>
                <c:pt idx="4">
                  <c:v>-15</c:v>
                </c:pt>
              </c:numCache>
            </c:numRef>
          </c:yVal>
          <c:smooth val="0"/>
          <c:extLst>
            <c:ext uri="{C3380CC4-5D6E-409C-BE32-E72D297353CC}">
              <c16:uniqueId xmlns:c16="http://schemas.microsoft.com/office/drawing/2014/chart" val="{00000002-5B6E-401C-8CFE-2BBD77C9750D}"/>
            </c:ext>
          </c:extLst>
        </c:ser>
        <c:dLbls>
          <c:showLegendKey val="0"/>
          <c:showVal val="0"/>
          <c:showCatName val="0"/>
          <c:showSerName val="0"/>
          <c:showPercent val="0"/>
          <c:showBubbleSize val="0"/>
        </c:dLbls>
        <c:axId val="66630016"/>
        <c:axId val="66631936"/>
      </c:scatterChart>
      <c:valAx>
        <c:axId val="66630016"/>
        <c:scaling>
          <c:orientation val="minMax"/>
          <c:max val="400"/>
          <c:min val="-400"/>
        </c:scaling>
        <c:delete val="0"/>
        <c:axPos val="b"/>
        <c:majorGridlines>
          <c:spPr>
            <a:ln xmlns:a="http://schemas.openxmlformats.org/drawingml/2006/main" w="19050">
              <a:solidFill>
                <a:schemeClr val="tx1"/>
              </a:solidFill>
            </a:ln>
          </c:spPr>
        </c:majorGridlines>
        <c:minorGridlines>
          <c:spPr>
            <a:ln xmlns:a="http://schemas.openxmlformats.org/drawingml/2006/main">
              <a:solidFill>
                <a:schemeClr val="tx1"/>
              </a:solidFill>
            </a:ln>
          </c:spPr>
        </c:minorGridlines>
        <c:title>
          <c:tx>
            <c:rich>
              <a:bodyPr xmlns:a="http://schemas.openxmlformats.org/drawingml/2006/main"/>
              <a:lstStyle xmlns:a="http://schemas.openxmlformats.org/drawingml/2006/main"/>
              <a:p xmlns:a="http://schemas.openxmlformats.org/drawingml/2006/main">
                <a:pPr>
                  <a:defRPr/>
                </a:pPr>
                <a:r>
                  <a:rPr lang="lt-LT" b="0"/>
                  <a:t>Stočių nešlių dažnių skirtumas, kHz</a:t>
                </a:r>
              </a:p>
            </c:rich>
          </c:tx>
          <c:layout/>
          <c:overlay val="0"/>
        </c:title>
        <c:numFmt formatCode="General" sourceLinked="1"/>
        <c:majorTickMark val="none"/>
        <c:minorTickMark val="none"/>
        <c:tickLblPos val="nextTo"/>
        <c:crossAx val="66631936"/>
        <c:crossesAt val="-20"/>
        <c:crossBetween val="midCat"/>
        <c:majorUnit val="200"/>
        <c:minorUnit val="50"/>
      </c:valAx>
      <c:valAx>
        <c:axId val="66631936"/>
        <c:scaling>
          <c:orientation val="minMax"/>
          <c:max val="50"/>
          <c:min val="-20"/>
        </c:scaling>
        <c:delete val="0"/>
        <c:axPos val="l"/>
        <c:majorGridlines>
          <c:spPr>
            <a:ln xmlns:a="http://schemas.openxmlformats.org/drawingml/2006/main" w="19050">
              <a:solidFill>
                <a:schemeClr val="tx1"/>
              </a:solidFill>
            </a:ln>
          </c:spPr>
        </c:majorGridlines>
        <c:minorGridlines>
          <c:spPr>
            <a:ln xmlns:a="http://schemas.openxmlformats.org/drawingml/2006/main">
              <a:solidFill>
                <a:schemeClr val="tx1"/>
              </a:solidFill>
            </a:ln>
          </c:spPr>
        </c:minorGridlines>
        <c:title>
          <c:tx>
            <c:rich>
              <a:bodyPr xmlns:a="http://schemas.openxmlformats.org/drawingml/2006/main" rot="-5400000" vert="horz"/>
              <a:lstStyle xmlns:a="http://schemas.openxmlformats.org/drawingml/2006/main"/>
              <a:p xmlns:a="http://schemas.openxmlformats.org/drawingml/2006/main">
                <a:pPr>
                  <a:defRPr/>
                </a:pPr>
                <a:r>
                  <a:rPr lang="lt-LT" b="0"/>
                  <a:t>Signalų lygių santykis, dB</a:t>
                </a:r>
              </a:p>
            </c:rich>
          </c:tx>
          <c:layout/>
          <c:overlay val="0"/>
        </c:title>
        <c:numFmt formatCode="General" sourceLinked="1"/>
        <c:majorTickMark val="none"/>
        <c:minorTickMark val="none"/>
        <c:tickLblPos val="nextTo"/>
        <c:crossAx val="66630016"/>
        <c:crossesAt val="-600"/>
        <c:crossBetween val="midCat"/>
        <c:majorUnit val="10"/>
        <c:minorUnit val="5"/>
      </c:valAx>
      <c:spPr>
        <a:ln xmlns:a="http://schemas.openxmlformats.org/drawingml/2006/main" w="22225">
          <a:solidFill>
            <a:schemeClr val="tx1"/>
          </a:solidFill>
        </a:ln>
      </c:spPr>
    </c:plotArea>
    <c:legend>
      <c:legendPos val="r"/>
      <c:layout>
        <c:manualLayout>
          <c:xMode val="edge"/>
          <c:yMode val="edge"/>
          <c:x val="0.71952777777777766"/>
          <c:y val="0.38219305920093327"/>
          <c:w val="0.23325000000000001"/>
          <c:h val="0.23561351706036746"/>
        </c:manualLayout>
      </c:layout>
      <c:overlay val="0"/>
    </c:legend>
    <c:plotVisOnly val="1"/>
    <c:dispBlanksAs val="gap"/>
    <c:showDLblsOverMax val="0"/>
  </c:chart>
  <c:spPr>
    <a:ln xmlns:a="http://schemas.openxmlformats.org/drawingml/2006/main">
      <a:noFill/>
    </a:ln>
  </c:spPr>
  <c:txPr>
    <a:bodyPr xmlns:a="http://schemas.openxmlformats.org/drawingml/2006/main"/>
    <a:lstStyle xmlns:a="http://schemas.openxmlformats.org/drawingml/2006/main"/>
    <a:p xmlns:a="http://schemas.openxmlformats.org/drawingml/2006/main">
      <a:pPr>
        <a:defRPr>
          <a:latin typeface="Times New Roman" panose="02020603050405020304" pitchFamily="18" charset="0"/>
          <a:cs typeface="Times New Roman" panose="02020603050405020304" pitchFamily="18" charset="0"/>
        </a:defRPr>
      </a:pPr>
      <a:endParaRPr lang="lt-LT"/>
    </a:p>
  </c:txPr>
  <c:externalData xmlns:r="http://schemas.openxmlformats.org/officeDocument/2006/relationships"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15</TotalTime>
  <Pages>25</Pages>
  <Words>18340</Words>
  <Characters>10454</Characters>
  <Application>Microsoft Office Word</Application>
  <DocSecurity>0</DocSecurity>
  <Lines>87</Lines>
  <Paragraphs>57</Paragraphs>
  <ScaleCrop>false</ScaleCrop>
  <Company>Teisines informacijos centras</Company>
  <LinksUpToDate>false</LinksUpToDate>
  <CharactersWithSpaces>28737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2015-08-10T15:38:00Z</dcterms:created>
  <dc:creator>Sandra</dc:creator>
  <lastModifiedBy>KUČIAUSKIENĖ Simona</lastModifiedBy>
  <dcterms:modified xsi:type="dcterms:W3CDTF">2017-01-31T08:15:00Z</dcterms:modified>
  <revision>7</revision>
  <dc:title>LIETUVOS RESPUBLIKOS</dc:title>
</coreProperties>
</file>