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alias w:val="pagrindine"/>
        <w:tag w:val="part_8167e4a4a4af4c80a9e2b1fdf288be7d"/>
        <w:lock w:val="sdtLocked"/>
        <w:richText/>
      </w:sdtPr>
      <w:sdtContent>
        <w:bookmarkStart w:name="X8167e4a4a4af4c80a9e2b1fdf288be7d" w:id="-1"/>
        <w:p w:rsidR="00A44BF5" w:rsidRDefault="00FA7F3D">
          <w:pPr>
            <w:jc w:val="center"/>
            <w:rPr>
              <w:b/>
              <w:noProof/>
              <w:lang w:eastAsia="lt-LT"/>
            </w:rPr>
          </w:pPr>
          <w:bookmarkStart w:id="0" w:name="_GoBack"/>
          <w:bookmarkEnd w:id="0"/>
          <w:r>
            <w:rPr>
              <w:b/>
              <w:noProof/>
              <w:lang w:eastAsia="lt-LT"/>
            </w:rPr>
            <w:t>LIETUVOS RESPUBLIKOS RYŠIŲ REGULIAVIMO TARNYBOS DIREKTORIUS</w:t>
          </w:r>
        </w:p>
        <w:p w:rsidR="00A44BF5" w:rsidRDefault="00A44BF5">
          <w:pPr>
            <w:jc w:val="center"/>
          </w:pPr>
        </w:p>
        <w:p w:rsidR="00A44BF5" w:rsidRDefault="00FA7F3D">
          <w:pPr>
            <w:jc w:val="center"/>
            <w:rPr>
              <w:b/>
            </w:rPr>
          </w:pPr>
          <w:r>
            <w:rPr>
              <w:b/>
            </w:rPr>
            <w:t>Į S A K Y M A S</w:t>
          </w:r>
        </w:p>
        <w:p w:rsidR="00A44BF5" w:rsidRDefault="00FA7F3D">
          <w:pPr>
            <w:jc w:val="center"/>
            <w:rPr>
              <w:b/>
            </w:rPr>
          </w:pPr>
          <w:r>
            <w:rPr>
              <w:b/>
            </w:rPr>
            <w:t>DĖL ŪKIO SUBJEKTO TEO LT, AB, TURINČIO DIDELĘ ĮTAKĄ VIEŠŲJŲ TARPTAUTINIO TELEFONO RYŠIO PASLAUGŲ, TEIKIAMŲ VARTOTOJAMS FIKSUOTOJE VIETOJE, RINKOJE</w:t>
          </w:r>
        </w:p>
        <w:p w:rsidR="00A44BF5" w:rsidRDefault="00A44BF5">
          <w:pPr>
            <w:jc w:val="center"/>
          </w:pPr>
        </w:p>
        <w:p w:rsidR="00A44BF5" w:rsidRDefault="00FA7F3D">
          <w:pPr>
            <w:jc w:val="center"/>
          </w:pPr>
          <w:r>
            <w:t>2006 m. rugsėjo 18 d. Nr. 1V-992</w:t>
          </w:r>
        </w:p>
        <w:p w:rsidR="00A44BF5" w:rsidRDefault="00FA7F3D">
          <w:pPr>
            <w:jc w:val="center"/>
          </w:pPr>
          <w:r>
            <w:t>Vilnius</w:t>
          </w:r>
        </w:p>
        <w:p w:rsidR="00A44BF5" w:rsidRDefault="00A44BF5">
          <w:pPr>
            <w:ind w:firstLine="709"/>
          </w:pPr>
        </w:p>
        <w:sdt>
          <w:sdtPr>
            <w:alias w:val=" preambulė"/>
            <w:tag w:val="part_1e28c2d59eee48d999c87984b29ab096"/>
            <w:lock w:val="sdtLocked"/>
            <w:richText/>
          </w:sdtPr>
          <w:sdtContent>
            <w:p w:rsidR="00A44BF5" w:rsidRDefault="00FA7F3D">
              <w:pPr>
                <w:widowControl w:val="0"/>
                <w:shd w:val="clear" w:color="auto" w:fill="FFFFFF"/>
                <w:ind w:firstLine="709"/>
                <w:jc w:val="both"/>
              </w:pPr>
              <w:bookmarkStart w:id="1" w:name="X1e28c2d59eee48d999c87984b29ab096"/>
              <w:r>
                <w:t>Vadovaudamasis Lietuvos Respublikos elektroninių ryšių įstatymo (Ž</w:t>
              </w:r>
              <w:r>
                <w:t>in., 2004, Nr. 69-2382) 15 straipsnio 1 dalimi, 16 straipsnio 1, 3, 9 ir 15 dalimis, 17 straipsnio 1 dalies 6 punktu ir Rinkos tyrimo taisyklių, patvirtintų Lietuvos Respublikos ryšių reguliavimo tarnybos direktoriaus 2004 m. rugsėjo 17 d. įsakymu Nr. 1V-2</w:t>
              </w:r>
              <w:r>
                <w:t xml:space="preserve">97 „Dėl Rinkos tyrimo taisyklių patvirtinimo“ (Žin., 2004, Nr. 141-5174), 24 ir 25 punktais, atsižvelgdamas į 2003 m. vasario 11 d. Europos Komisijos rekomendaciją dėl atitinkamų produktų ir paslaugų rinkų elektroninių ryšių srityje, reikalaujančių </w:t>
              </w:r>
              <w:r>
                <w:rPr>
                  <w:i/>
                  <w:iCs/>
                </w:rPr>
                <w:t>ex-ante</w:t>
              </w:r>
              <w:r>
                <w:rPr>
                  <w:i/>
                  <w:iCs/>
                </w:rPr>
                <w:t xml:space="preserve"> </w:t>
              </w:r>
              <w:r>
                <w:t xml:space="preserve">reguliavimo pagal Europos Parlamento ir Tarybos direktyvą 2002/21/EB dėl elektroninių ryšių tinklų ir paslaugų bendrosios reguliavimo sistemos, bei išnagrinėjęs Viešųjų tarptautinio telefono ryšio paslaugų, teikiamų vartotojams fiksuotoje vietoje, rinkos </w:t>
              </w:r>
              <w:r>
                <w:t>tyrimo metu juridinių asmenų pateiktus atsakymus į Lietuvos Respublikos ryšių reguliavimo tarnybos 2006 m. sausio 20 d. raštu Nr. (25.18)-1B-247 pateiktą Mažmeninių viešųjų telefono ryšio paslaugų, teikiamų fiksuotoje vietoje, rinkų tyrimų anketą bei atsiž</w:t>
              </w:r>
              <w:r>
                <w:t>velgdamas į Viešųjų tarptautinio telefono ryšio paslaugų, teikiamų vartotojams ir paslaugų gavėjams, išskyrus vartotojus, fiksuotoje vietoje rinkų tyrimų ataskaitą (toliau vadinama – Ataskaita):</w:t>
              </w:r>
            </w:p>
          </w:sdtContent>
        </w:sdt>
        <w:sdt>
          <w:sdtPr>
            <w:alias w:val="1 p."/>
            <w:tag w:val="part_a9ead9d9b42f4e98a1407b99beed45cd"/>
            <w:lock w:val="sdtLocked"/>
            <w:richText/>
          </w:sdtPr>
          <w:sdtContent>
            <w:p w:rsidR="00A44BF5" w:rsidRDefault="00FA7F3D">
              <w:pPr>
                <w:widowControl w:val="0"/>
                <w:shd w:val="clear" w:color="auto" w:fill="FFFFFF"/>
                <w:ind w:firstLine="709"/>
                <w:jc w:val="both"/>
              </w:pPr>
              <w:bookmarkStart w:id="2" w:name="Xa9ead9d9b42f4e98a1407b99beed45cd"/>
              <w:bookmarkEnd w:id="1"/>
              <w:r>
                <w:t xml:space="preserve">1. </w:t>
              </w:r>
              <w:r>
                <w:rPr>
                  <w:spacing w:val="60"/>
                </w:rPr>
                <w:t>Nustačia</w:t>
              </w:r>
              <w:r>
                <w:t xml:space="preserve">u ir </w:t>
              </w:r>
              <w:r>
                <w:rPr>
                  <w:spacing w:val="60"/>
                </w:rPr>
                <w:t>konstatuoj</w:t>
              </w:r>
              <w:r>
                <w:t>u:</w:t>
              </w:r>
            </w:p>
            <w:sdt>
              <w:sdtPr>
                <w:alias w:val="1.1 p."/>
                <w:tag w:val="part_408f01be03394b2c91f7bbfcf8fea366"/>
                <w:lock w:val="sdtLocked"/>
                <w:richText/>
              </w:sdtPr>
              <w:sdtContent>
                <w:p w:rsidR="00A44BF5" w:rsidRDefault="00FA7F3D">
                  <w:pPr>
                    <w:widowControl w:val="0"/>
                    <w:shd w:val="clear" w:color="auto" w:fill="FFFFFF"/>
                    <w:ind w:firstLine="709"/>
                    <w:jc w:val="both"/>
                  </w:pPr>
                  <w:bookmarkStart w:id="3" w:name="X408f01be03394b2c91f7bbfcf8fea366"/>
                  <w:r>
                    <w:t>1.1. Kaip nustatyta Ataskaitos 2</w:t>
                  </w:r>
                  <w:r>
                    <w:t>.3 skyriuje, Viešųjų tarptautinio telefono ryšio paslaugų, teikiamų vartotojams fiksuotoje vietoje (toliau vadinama – Tarptautiniai skambučiai Vartotojams) rinka apibrėžiama, kaip visą Lietuvos Respublikos teritoriją aprėpianti (nacionalinė) rinka, kurią s</w:t>
                  </w:r>
                  <w:r>
                    <w:t>udaro fiksuotoje vietoje viešuoju telefono ryšio tinklu teikiami Tarptautiniai skambučiai Vartotojams nepriklausomai nuo šių skambučių teikimo būdo.</w:t>
                  </w:r>
                </w:p>
              </w:sdtContent>
            </w:sdt>
            <w:sdt>
              <w:sdtPr>
                <w:alias w:val="1.2 p."/>
                <w:tag w:val="part_0b9119f4cf7e493d9dba159100367cfc"/>
                <w:lock w:val="sdtLocked"/>
                <w:richText/>
              </w:sdtPr>
              <w:sdtContent>
                <w:p w:rsidR="00A44BF5" w:rsidRDefault="00FA7F3D">
                  <w:pPr>
                    <w:widowControl w:val="0"/>
                    <w:shd w:val="clear" w:color="auto" w:fill="FFFFFF"/>
                    <w:ind w:firstLine="709"/>
                    <w:jc w:val="both"/>
                  </w:pPr>
                  <w:bookmarkStart w:id="4" w:name="X0b9119f4cf7e493d9dba159100367cfc"/>
                  <w:bookmarkEnd w:id="3"/>
                  <w:r>
                    <w:t xml:space="preserve">1.2. Tarptautinių skambučių Vartotojams paslaugas tiriamojo laikotarpio pabaigoje (2005 m. gruodžio 31 d.) </w:t>
                  </w:r>
                  <w:r>
                    <w:t xml:space="preserve">teikė TEO LT, AB (iki 2006 m. gegužės 5 d. bendrovės pavadinimas buvo AB „Lietuvos telekomas“), užėmusi 73,62 proc. Tarptautinių skambučių Vartotojams rinkos, ir UAB „Linkotelus“, UAB „Linktelis“, UAB „Tele2 fiksuotas ryšys“, UAB „Naujasis telefonas“, UAB </w:t>
                  </w:r>
                  <w:r>
                    <w:t>„Gigatelis“, UAB „Telegrupė“, UAB „Cubio“, UAB „Eurofonas“, UAB „Res vera“, AB „Lietuvos geležinkeliai“, UAB „Penkių kontinentų komunikacijų centras“, UAB „Balticum TV“, UAB „Remo televizija“, UAB „Socius Tuus“, UAB „Telerena“, UAB „Teletinklas“, UAB „Alyt</w:t>
                  </w:r>
                  <w:r>
                    <w:t>aus kabelinė televizija“, UAB „Nacionalinis telekomunikacijų tinklas“, UAB „Verslo sprendimai“, UAB „Alderada“ ir A. Judicko individuali įmonė, kartu turėjusios 26,38 proc. Tarptautinių skambučių Vartotojams rinkos dalį.</w:t>
                  </w:r>
                </w:p>
              </w:sdtContent>
            </w:sdt>
            <w:sdt>
              <w:sdtPr>
                <w:alias w:val="1.3 p."/>
                <w:tag w:val="part_3f58e5ec2939457eb86e9ee22d7c3fc5"/>
                <w:lock w:val="sdtLocked"/>
                <w:richText/>
              </w:sdtPr>
              <w:sdtContent>
                <w:p w:rsidR="00A44BF5" w:rsidRDefault="00FA7F3D">
                  <w:pPr>
                    <w:widowControl w:val="0"/>
                    <w:shd w:val="clear" w:color="auto" w:fill="FFFFFF"/>
                    <w:ind w:firstLine="709"/>
                    <w:jc w:val="both"/>
                  </w:pPr>
                  <w:bookmarkStart w:id="5" w:name="X3f58e5ec2939457eb86e9ee22d7c3fc5"/>
                  <w:bookmarkEnd w:id="4"/>
                  <w:r>
                    <w:t>1.3. Atliktas tyrimas dėl konkurenc</w:t>
                  </w:r>
                  <w:r>
                    <w:t>ijos veiksmingumo Tarptautinių skambučių Vartotojams rinkoje parodė, kad konkurencija šioje rinkoje nėra veiksminga, nes:</w:t>
                  </w:r>
                </w:p>
                <w:sdt>
                  <w:sdtPr>
                    <w:alias w:val="1.3.1 p."/>
                    <w:tag w:val="part_eb6f3152c2604409b981afda0a3b2a08"/>
                    <w:lock w:val="sdtLocked"/>
                    <w:richText/>
                  </w:sdtPr>
                  <w:sdtContent>
                    <w:p w:rsidR="00A44BF5" w:rsidRDefault="00FA7F3D">
                      <w:pPr>
                        <w:widowControl w:val="0"/>
                        <w:shd w:val="clear" w:color="auto" w:fill="FFFFFF"/>
                        <w:ind w:firstLine="709"/>
                        <w:jc w:val="both"/>
                      </w:pPr>
                      <w:bookmarkStart w:id="6" w:name="Xeb6f3152c2604409b981afda0a3b2a08"/>
                      <w:r>
                        <w:t>1.3.1. Išanalizavus pagrindinius konkurencijos veiksmingumo vertinimo kriterijus (rinkos struktūrą, įėjimo į rinką barjerus, potencial</w:t>
                      </w:r>
                      <w:r>
                        <w:t>ią konkurenciją, kainų dinamiką), kuriais vadovaujantis sprendžiama, ar konkurencija Tarptautinių skambučių Vartotojams rinkoje yra veiksminga, nustatyta, kad:</w:t>
                      </w:r>
                    </w:p>
                    <w:sdt>
                      <w:sdtPr>
                        <w:alias w:val="1.3.1.1 p."/>
                        <w:tag w:val="part_be9fba633e6241c3b2d030d94b54fc1e"/>
                        <w:lock w:val="sdtLocked"/>
                        <w:richText/>
                      </w:sdtPr>
                      <w:sdtContent>
                        <w:p w:rsidR="00A44BF5" w:rsidRDefault="00FA7F3D">
                          <w:pPr>
                            <w:widowControl w:val="0"/>
                            <w:shd w:val="clear" w:color="auto" w:fill="FFFFFF"/>
                            <w:ind w:firstLine="709"/>
                            <w:jc w:val="both"/>
                          </w:pPr>
                          <w:bookmarkStart w:id="7" w:name="Xbe9fba633e6241c3b2d030d94b54fc1e"/>
                          <w:r>
                            <w:t>1.3.1.1. Tarptautinių skambučių Vartotojams rinkos 73,62 procentų dalį užima TEO LT, AB;</w:t>
                          </w:r>
                        </w:p>
                      </w:sdtContent>
                    </w:sdt>
                    <w:sdt>
                      <w:sdtPr>
                        <w:alias w:val="1.3.1.2 p."/>
                        <w:tag w:val="part_0423243122494fecb9b6456289730521"/>
                        <w:lock w:val="sdtLocked"/>
                        <w:richText/>
                      </w:sdtPr>
                      <w:sdtContent>
                        <w:p w:rsidR="00A44BF5" w:rsidRDefault="00FA7F3D">
                          <w:pPr>
                            <w:widowControl w:val="0"/>
                            <w:shd w:val="clear" w:color="auto" w:fill="FFFFFF"/>
                            <w:ind w:firstLine="709"/>
                            <w:jc w:val="both"/>
                          </w:pPr>
                          <w:bookmarkStart w:id="8" w:name="X0423243122494fecb9b6456289730521"/>
                          <w:bookmarkEnd w:id="7"/>
                          <w:r>
                            <w:t>1.3.1.2. TEO LT, AB teikiamai Tarptautinių skambučių Vartotojams paslaugai būdingas vertikalus integruotumas;</w:t>
                          </w:r>
                        </w:p>
                      </w:sdtContent>
                    </w:sdt>
                    <w:sdt>
                      <w:sdtPr>
                        <w:alias w:val="1.3.1.3 p."/>
                        <w:tag w:val="part_339363a19620472d9cb8453163dc7fa4"/>
                        <w:lock w:val="sdtLocked"/>
                        <w:richText/>
                      </w:sdtPr>
                      <w:sdtContent>
                        <w:p w:rsidR="00A44BF5" w:rsidRDefault="00FA7F3D">
                          <w:pPr>
                            <w:widowControl w:val="0"/>
                            <w:shd w:val="clear" w:color="auto" w:fill="FFFFFF"/>
                            <w:ind w:firstLine="709"/>
                            <w:jc w:val="both"/>
                          </w:pPr>
                          <w:bookmarkStart w:id="9" w:name="X339363a19620472d9cb8453163dc7fa4"/>
                          <w:bookmarkEnd w:id="8"/>
                          <w:r>
                            <w:t>1.3.1.3. įėjimo į Tarptautinių skambučių Vartotojams rinką barjerai dėl sunkiai dubliuojamos infrastruktūros kontrolės yra aukšti;</w:t>
                          </w:r>
                        </w:p>
                      </w:sdtContent>
                    </w:sdt>
                    <w:sdt>
                      <w:sdtPr>
                        <w:alias w:val="1.3.1.4 p."/>
                        <w:tag w:val="part_2e2a589dd74a4c95997a6cc85d6d7d39"/>
                        <w:lock w:val="sdtLocked"/>
                        <w:richText/>
                      </w:sdtPr>
                      <w:sdtContent>
                        <w:p w:rsidR="00A44BF5" w:rsidRDefault="00FA7F3D">
                          <w:pPr>
                            <w:widowControl w:val="0"/>
                            <w:shd w:val="clear" w:color="auto" w:fill="FFFFFF"/>
                            <w:ind w:firstLine="709"/>
                            <w:jc w:val="both"/>
                          </w:pPr>
                          <w:bookmarkStart w:id="10" w:name="X2e2a589dd74a4c95997a6cc85d6d7d39"/>
                          <w:bookmarkEnd w:id="9"/>
                          <w:r>
                            <w:lastRenderedPageBreak/>
                            <w:t xml:space="preserve">1.3.1.4. masto </w:t>
                          </w:r>
                          <w:r>
                            <w:t>ir įvairovės ekonomijos teikiami pranašumai leidžia TEO LT, AB teikti mažmenines viešąsias telefono ryšio paslaugas mažesniais vidutiniais kaštais, lyginant su alternatyviais paslaugų teikėjais. Tokiu būdu yra ribojamas tiek potencialių rinkos dalyvių įėji</w:t>
                          </w:r>
                          <w:r>
                            <w:t>mas į rinką, tiek konkurencijos tarp rinkoje veikiančių ūkio subjektų konkurencijos augimas;</w:t>
                          </w:r>
                        </w:p>
                      </w:sdtContent>
                    </w:sdt>
                    <w:sdt>
                      <w:sdtPr>
                        <w:alias w:val="1.3.1.5 p."/>
                        <w:tag w:val="part_b2e84e6561704028bcaa6ae5ded2b344"/>
                        <w:lock w:val="sdtLocked"/>
                        <w:richText/>
                      </w:sdtPr>
                      <w:sdtContent>
                        <w:p w:rsidR="00A44BF5" w:rsidRDefault="00FA7F3D">
                          <w:pPr>
                            <w:widowControl w:val="0"/>
                            <w:shd w:val="clear" w:color="auto" w:fill="FFFFFF"/>
                            <w:ind w:firstLine="709"/>
                            <w:jc w:val="both"/>
                          </w:pPr>
                          <w:bookmarkStart w:id="11" w:name="Xb2e84e6561704028bcaa6ae5ded2b344"/>
                          <w:bookmarkEnd w:id="10"/>
                          <w:r>
                            <w:t>1.3.1.5. potenciali konkurencija Tarptautinių skambučių Vartotojams rinkoje yra ribota.</w:t>
                          </w:r>
                        </w:p>
                      </w:sdtContent>
                    </w:sdt>
                  </w:sdtContent>
                </w:sdt>
                <w:sdt>
                  <w:sdtPr>
                    <w:alias w:val="1.3.2 p."/>
                    <w:tag w:val="part_c97c4fb5161843d68bd59fe279268e89"/>
                    <w:lock w:val="sdtLocked"/>
                    <w:richText/>
                  </w:sdtPr>
                  <w:sdtContent>
                    <w:p w:rsidR="00A44BF5" w:rsidRDefault="00FA7F3D">
                      <w:pPr>
                        <w:widowControl w:val="0"/>
                        <w:shd w:val="clear" w:color="auto" w:fill="FFFFFF"/>
                        <w:ind w:firstLine="709"/>
                        <w:jc w:val="both"/>
                      </w:pPr>
                      <w:bookmarkStart w:id="12" w:name="Xc97c4fb5161843d68bd59fe279268e89"/>
                      <w:bookmarkEnd w:id="11"/>
                      <w:bookmarkEnd w:id="6"/>
                      <w:r>
                        <w:t>1.3.2. Atlikus konkurencijos veiksmingumo Tarptautinių skambučių Vartotojam</w:t>
                      </w:r>
                      <w:r>
                        <w:t>s rinkoje analizę, kaip pateikta Ataskaitos 4.2 skyriuje, išskirtos šios konkurencijos problemos:</w:t>
                      </w:r>
                    </w:p>
                    <w:sdt>
                      <w:sdtPr>
                        <w:alias w:val="1.3.2.1 p."/>
                        <w:tag w:val="part_04c64de4b7554d0cb98e7e45ad802604"/>
                        <w:lock w:val="sdtLocked"/>
                        <w:richText/>
                      </w:sdtPr>
                      <w:sdtContent>
                        <w:p w:rsidR="00A44BF5" w:rsidRDefault="00FA7F3D">
                          <w:pPr>
                            <w:widowControl w:val="0"/>
                            <w:shd w:val="clear" w:color="auto" w:fill="FFFFFF"/>
                            <w:ind w:firstLine="709"/>
                            <w:jc w:val="both"/>
                          </w:pPr>
                          <w:bookmarkStart w:id="13" w:name="X04c64de4b7554d0cb98e7e45ad802604"/>
                          <w:r>
                            <w:t>1.3.2.1. infrastruktūros, alternatyvios TEO LT, AB infrastruktūrai, kuria galima būtų teikti Tarptautinių skambučių Vartotojams paslaugas konkurencinėmis sąly</w:t>
                          </w:r>
                          <w:r>
                            <w:t>gomis trūkumas;</w:t>
                          </w:r>
                        </w:p>
                      </w:sdtContent>
                    </w:sdt>
                    <w:sdt>
                      <w:sdtPr>
                        <w:alias w:val="1.3.2.2 p."/>
                        <w:tag w:val="part_01674b99d98a44c3b3df7dc4972127ba"/>
                        <w:lock w:val="sdtLocked"/>
                        <w:richText/>
                      </w:sdtPr>
                      <w:sdtContent>
                        <w:p w:rsidR="00A44BF5" w:rsidRDefault="00FA7F3D">
                          <w:pPr>
                            <w:widowControl w:val="0"/>
                            <w:shd w:val="clear" w:color="auto" w:fill="FFFFFF"/>
                            <w:ind w:firstLine="709"/>
                            <w:jc w:val="both"/>
                          </w:pPr>
                          <w:bookmarkStart w:id="14" w:name="X01674b99d98a44c3b3df7dc4972127ba"/>
                          <w:bookmarkEnd w:id="13"/>
                          <w:r>
                            <w:t>1.3.2.2. vertikali integracija, disponuojamos infrastruktūros kontrolė bei dominuojanti padėtis susijusių didmeninių paslaugų rinkose TEO LT, AB suteikia esminį pranašumą kainos atžvilgiu prieš konkurentus.</w:t>
                          </w:r>
                        </w:p>
                      </w:sdtContent>
                    </w:sdt>
                  </w:sdtContent>
                </w:sdt>
              </w:sdtContent>
            </w:sdt>
            <w:sdt>
              <w:sdtPr>
                <w:alias w:val="1.4 p."/>
                <w:tag w:val="part_6fc9de5996d74ff9af46c5f43fa85a71"/>
                <w:lock w:val="sdtLocked"/>
                <w:richText/>
              </w:sdtPr>
              <w:sdtContent>
                <w:p w:rsidR="00A44BF5" w:rsidRDefault="00FA7F3D">
                  <w:pPr>
                    <w:widowControl w:val="0"/>
                    <w:shd w:val="clear" w:color="auto" w:fill="FFFFFF"/>
                    <w:ind w:firstLine="709"/>
                    <w:jc w:val="both"/>
                  </w:pPr>
                  <w:bookmarkStart w:id="15" w:name="X6fc9de5996d74ff9af46c5f43fa85a71"/>
                  <w:bookmarkEnd w:id="14"/>
                  <w:bookmarkEnd w:id="12"/>
                  <w:bookmarkEnd w:id="5"/>
                  <w:r>
                    <w:t>1.4. Kaip nurodyta Ataskaitos 4.3</w:t>
                  </w:r>
                  <w:r>
                    <w:t xml:space="preserve"> skyriuje, ūkio subjektą TEO LT, AB sudaro TEO LT, AB kartu su susijusiais juridiniais asmenimis, t. y. UAB „Baltic Data Center“, UAB „Kompetencijos ugdymo centras“ (iki 2006 m. birželio 22 d. bendrovės pavadinimas buvo UAB „Lietuvos telekomo verslo sprend</w:t>
                  </w:r>
                  <w:r>
                    <w:t>imai“), UAB „Lintel“, UAB „Omnitel“, UAB „Voicecom“ ir VšĮ „TEO sportas“ (iki 2006 m. birželio 22 d. bendrovės pavadinimas buvo VšĮ „Lietuvos telekomo“ sporto klubas) (toliau visi kartu vadinami – ūkio subjektas TEO LT, AB).</w:t>
                  </w:r>
                </w:p>
              </w:sdtContent>
            </w:sdt>
          </w:sdtContent>
        </w:sdt>
        <w:sdt>
          <w:sdtPr>
            <w:alias w:val="2 p."/>
            <w:tag w:val="part_864764c23ebe4742af50bebb6ba6b97c"/>
            <w:lock w:val="sdtLocked"/>
            <w:richText/>
          </w:sdtPr>
          <w:sdtContent>
            <w:p w:rsidR="00A44BF5" w:rsidRDefault="00FA7F3D">
              <w:pPr>
                <w:widowControl w:val="0"/>
                <w:shd w:val="clear" w:color="auto" w:fill="FFFFFF"/>
                <w:ind w:firstLine="709"/>
                <w:jc w:val="both"/>
              </w:pPr>
              <w:bookmarkStart w:id="16" w:name="X864764c23ebe4742af50bebb6ba6b97c"/>
              <w:bookmarkEnd w:id="15"/>
              <w:bookmarkEnd w:id="2"/>
              <w:r>
                <w:t xml:space="preserve">2. </w:t>
              </w:r>
              <w:r>
                <w:rPr>
                  <w:spacing w:val="60"/>
                </w:rPr>
                <w:t>Pripažįstu</w:t>
              </w:r>
              <w:r>
                <w:t xml:space="preserve"> ūkio subjektą TEO</w:t>
              </w:r>
              <w:r>
                <w:t xml:space="preserve"> LT, AB turinčiu didelę įtaką Tarptautinių skambučių Vartotojams rinkoje, kaip nustatyta Ataskaitos 4.3 skyriuje, nes:</w:t>
              </w:r>
            </w:p>
            <w:sdt>
              <w:sdtPr>
                <w:alias w:val="2.1 p."/>
                <w:tag w:val="part_7e368d23a0d1454a84e4982e3519d283"/>
                <w:lock w:val="sdtLocked"/>
                <w:richText/>
              </w:sdtPr>
              <w:sdtContent>
                <w:p w:rsidR="00A44BF5" w:rsidRDefault="00FA7F3D">
                  <w:pPr>
                    <w:widowControl w:val="0"/>
                    <w:shd w:val="clear" w:color="auto" w:fill="FFFFFF"/>
                    <w:ind w:firstLine="709"/>
                    <w:jc w:val="both"/>
                  </w:pPr>
                  <w:bookmarkStart w:id="17" w:name="X7e368d23a0d1454a84e4982e3519d283"/>
                  <w:r>
                    <w:t>2.1. Tarptautinių skambučių Vartotojams rinkos 73,62 procentus užima TEO LT, AB;</w:t>
                  </w:r>
                </w:p>
              </w:sdtContent>
            </w:sdt>
            <w:sdt>
              <w:sdtPr>
                <w:alias w:val="2.2 p."/>
                <w:tag w:val="part_9da07414ae62494fa792bce8825841a1"/>
                <w:lock w:val="sdtLocked"/>
                <w:richText/>
              </w:sdtPr>
              <w:sdtContent>
                <w:p w:rsidR="00A44BF5" w:rsidRDefault="00FA7F3D">
                  <w:pPr>
                    <w:widowControl w:val="0"/>
                    <w:shd w:val="clear" w:color="auto" w:fill="FFFFFF"/>
                    <w:ind w:firstLine="709"/>
                    <w:jc w:val="both"/>
                  </w:pPr>
                  <w:bookmarkStart w:id="18" w:name="X9da07414ae62494fa792bce8825841a1"/>
                  <w:bookmarkEnd w:id="17"/>
                  <w:r>
                    <w:t>2.2. TEO LT, AB, parduodama Tarptautinių skambučių Varto</w:t>
                  </w:r>
                  <w:r>
                    <w:t>tojams paslaugą susiduria su ribota potencialia konkurencija;</w:t>
                  </w:r>
                </w:p>
              </w:sdtContent>
            </w:sdt>
            <w:sdt>
              <w:sdtPr>
                <w:alias w:val="2.3 p."/>
                <w:tag w:val="part_12cbe42be93c42f38a71f3ec91633b2d"/>
                <w:lock w:val="sdtLocked"/>
                <w:richText/>
              </w:sdtPr>
              <w:sdtContent>
                <w:p w:rsidR="00A44BF5" w:rsidRDefault="00FA7F3D">
                  <w:pPr>
                    <w:widowControl w:val="0"/>
                    <w:shd w:val="clear" w:color="auto" w:fill="FFFFFF"/>
                    <w:ind w:firstLine="709"/>
                    <w:jc w:val="both"/>
                  </w:pPr>
                  <w:bookmarkStart w:id="19" w:name="X12cbe42be93c42f38a71f3ec91633b2d"/>
                  <w:bookmarkEnd w:id="18"/>
                  <w:r>
                    <w:t>2.3. kitų juridinių asmenų alternatyvios infrastruktūros per trumpą laiką neturi galimybių tapti vienodai konkurencingos ir plačiai paplitusios teritorinio padengimo prasme, palyginti su TEO LT,</w:t>
                  </w:r>
                  <w:r>
                    <w:t xml:space="preserve"> AB infrastruktūra;</w:t>
                  </w:r>
                </w:p>
              </w:sdtContent>
            </w:sdt>
            <w:sdt>
              <w:sdtPr>
                <w:alias w:val="2.4 p."/>
                <w:tag w:val="part_698e618e591e4dd1bf6426e3f785f503"/>
                <w:lock w:val="sdtLocked"/>
                <w:richText/>
              </w:sdtPr>
              <w:sdtContent>
                <w:p w:rsidR="00A44BF5" w:rsidRDefault="00FA7F3D">
                  <w:pPr>
                    <w:widowControl w:val="0"/>
                    <w:shd w:val="clear" w:color="auto" w:fill="FFFFFF"/>
                    <w:ind w:firstLine="709"/>
                    <w:jc w:val="both"/>
                  </w:pPr>
                  <w:bookmarkStart w:id="20" w:name="X698e618e591e4dd1bf6426e3f785f503"/>
                  <w:bookmarkEnd w:id="19"/>
                  <w:r>
                    <w:t>2.4. kitas ūkio subjektas, norėdamas teikti Tarptautinių skambučių Vartotojams paslaugas ir neturėdamas savo infrastruktūros, yra priverstas pirkti didmeninės paslaugas iš TEO LT, AB. Atitinkamose didmeninių paslaugų rinkose ūkio subjek</w:t>
                  </w:r>
                  <w:r>
                    <w:t>tas TEO LT, AB užima dominuojančią rinkos padėtį ir konkurencija atitinkamose rinkose nėra veiksminga;</w:t>
                  </w:r>
                </w:p>
              </w:sdtContent>
            </w:sdt>
            <w:sdt>
              <w:sdtPr>
                <w:alias w:val="2.5 p."/>
                <w:tag w:val="part_8094020ac7cd4f5c9d1ac82504fc17c5"/>
                <w:lock w:val="sdtLocked"/>
                <w:richText/>
              </w:sdtPr>
              <w:sdtContent>
                <w:p w:rsidR="00A44BF5" w:rsidRDefault="00FA7F3D">
                  <w:pPr>
                    <w:widowControl w:val="0"/>
                    <w:shd w:val="clear" w:color="auto" w:fill="FFFFFF"/>
                    <w:ind w:firstLine="709"/>
                    <w:jc w:val="both"/>
                  </w:pPr>
                  <w:bookmarkStart w:id="21" w:name="X8094020ac7cd4f5c9d1ac82504fc17c5"/>
                  <w:bookmarkEnd w:id="20"/>
                  <w:r>
                    <w:t xml:space="preserve">2.5. TEO LT, AB turi galimybes bei ekonominį interesą vienašališkai nustatyti sau palankias paslaugų kainas ir stabdyti konkurenciją mažmeninių produktų </w:t>
                  </w:r>
                  <w:r>
                    <w:t>(paslaugų) rinkoje.</w:t>
                  </w:r>
                </w:p>
              </w:sdtContent>
            </w:sdt>
          </w:sdtContent>
        </w:sdt>
        <w:sdt>
          <w:sdtPr>
            <w:alias w:val="3 p."/>
            <w:tag w:val="part_6e0ae8dfcd9a4009817c5612b7565bf9"/>
            <w:lock w:val="sdtLocked"/>
            <w:richText/>
          </w:sdtPr>
          <w:sdtContent>
            <w:p w:rsidR="00A44BF5" w:rsidRDefault="00FA7F3D">
              <w:pPr>
                <w:widowControl w:val="0"/>
                <w:shd w:val="clear" w:color="auto" w:fill="FFFFFF"/>
                <w:ind w:firstLine="709"/>
                <w:jc w:val="both"/>
              </w:pPr>
              <w:bookmarkStart w:id="22" w:name="X6e0ae8dfcd9a4009817c5612b7565bf9"/>
              <w:bookmarkEnd w:id="21"/>
              <w:bookmarkEnd w:id="16"/>
              <w:r>
                <w:t xml:space="preserve">3. </w:t>
              </w:r>
              <w:r>
                <w:rPr>
                  <w:spacing w:val="60"/>
                </w:rPr>
                <w:t>Pakeičiu</w:t>
              </w:r>
              <w:r>
                <w:t xml:space="preserve"> Ryšių reguliavimo tarnybos prie Lietuvos Respublikos Vyriausybės direktoriaus 2002 m. lapkričio 28 d. įsakymu Nr. 158 „Dėl Rinkų, kuriose didelę įtaką turintiems ūkio subjektams taikomas įpareigojimas suteikti prieigą, sąraš</w:t>
              </w:r>
              <w:r>
                <w:t>o patvirtinimo“ (Žin., 2002, Nr. 117-5284) patvirtintame Rinkų, kuriose didelę įtaką turintiems ūkio subjektams taikomas įpareigojimas suteikti prieigą, sąraše nustatytą Lietuvos Respublikos telekomunikacijų įstatymo (Žin., 1998, Nr. 56-1548; 2002, Nr. 75-</w:t>
              </w:r>
              <w:r>
                <w:t>3215) (toliau vadinama – Telekomunikacijų įstatymas) 16 straipsnyje nurodytą įpareigojimą, Ryšių reguliavimo tarnybos prie Lietuvos Respublikos Vyriausybės direktoriaus 2002 m. gruodžio 5 d. įsakymu Nr. 170 „Dėl didelę įtaką viešųjų fiksuoto telefono ryšio</w:t>
              </w:r>
              <w:r>
                <w:t xml:space="preserve"> paslaugų ir tinklų rinkoje turinčių ūkio subjektų“ (Informaciniai pranešimai, 2002, Nr. 97-518; 2003, Nr. 1-11) nustatytus Telekomunikacijų įstatymo 11, 12, 13, 14, 15, 16, 21, 22, 24 straipsniuose nurodytus įpareigojimus bei Ryšių reguliavimo tarnybos pr</w:t>
              </w:r>
              <w:r>
                <w:t>ie Lietuvos Respublikos Vyriausybės direktoriaus 2002 m. gruodžio 13 d. įsakymu Nr. 177 „Dėl Rinkų, kuriose didelę įtaką turintiems ūkio subjektams taikomas skaidrumo įpareigojimas, sąrašo ir reikalaujamos skelbti informacijos masto, detalumo ir paskelbimo</w:t>
              </w:r>
              <w:r>
                <w:t xml:space="preserve"> būdo nustatymo“ (Žin., 2002, Nr. 119-5390) patvirtintame Rinkų, kuriose didelę įtaką turintiems ūkio subjektams taikomas skaidrumo įpareigojimas, sąraše ir reikalaujamos skelbti informacijos masto, detalumo ir paskelbimo būdo apraše nustatytą Telekomunika</w:t>
              </w:r>
              <w:r>
                <w:t>cijų įstatymo 12 straipsnyje nurodytą įpareigojimą tokia apimtimi, kiek jie yra susiję su Tarptautinių skambučių Vartotojams teikimu (likusia apimtimi Telekomunikacijų įstatymo pagrindu nustatyti įpareigojimai lieka galioti pagal Lietuvos Respublikos elekt</w:t>
              </w:r>
              <w:r>
                <w:t xml:space="preserve">roninių ryšių įstatymo 79 straipsnį), į šiuos įpareigojimus pagal Lietuvos </w:t>
              </w:r>
              <w:r>
                <w:lastRenderedPageBreak/>
                <w:t>Respublikos elektroninių ryšių įstatymo 32 straipsnį, kuriuos TEO LT, AB privalo vykdyti nuo šio įsakymo įsigaliojimo dienos, kaip nurodyta Ataskaitos 5 skyriuje:</w:t>
              </w:r>
            </w:p>
            <w:sdt>
              <w:sdtPr>
                <w:alias w:val="3.1 p."/>
                <w:tag w:val="part_5e3777eb5e90483a8a2b05204878ce10"/>
                <w:lock w:val="sdtLocked"/>
                <w:richText/>
              </w:sdtPr>
              <w:sdtContent>
                <w:p w:rsidR="00A44BF5" w:rsidRDefault="00FA7F3D">
                  <w:pPr>
                    <w:widowControl w:val="0"/>
                    <w:shd w:val="clear" w:color="auto" w:fill="FFFFFF"/>
                    <w:ind w:firstLine="709"/>
                    <w:jc w:val="both"/>
                  </w:pPr>
                  <w:bookmarkStart w:id="23" w:name="X5e3777eb5e90483a8a2b05204878ce10"/>
                  <w:r>
                    <w:t>3.1. Kainų kontrol</w:t>
                  </w:r>
                  <w:r>
                    <w:t>ės ir sąnaudų apskaitos įpareigojimą. Ūkio subjektas TEO LT, AB privalo kiek tai susiję su Tarptautinių skambučių Vartotojams teikimu:</w:t>
                  </w:r>
                </w:p>
                <w:sdt>
                  <w:sdtPr>
                    <w:alias w:val="3.1.1 p."/>
                    <w:tag w:val="part_986003f2b12542618e7fa0690de9a8f4"/>
                    <w:lock w:val="sdtLocked"/>
                    <w:richText/>
                  </w:sdtPr>
                  <w:sdtContent>
                    <w:p w:rsidR="00A44BF5" w:rsidRDefault="00FA7F3D">
                      <w:pPr>
                        <w:widowControl w:val="0"/>
                        <w:shd w:val="clear" w:color="auto" w:fill="FFFFFF"/>
                        <w:ind w:firstLine="709"/>
                        <w:jc w:val="both"/>
                      </w:pPr>
                      <w:bookmarkStart w:id="24" w:name="X986003f2b12542618e7fa0690de9a8f4"/>
                      <w:r>
                        <w:t>3.1.1. užtikrinti, kad Tarptautinių skambučių Vartotojams kaina nebūtų mažesnė nei kaina, orientuota į sąnaudas, apskaiči</w:t>
                      </w:r>
                      <w:r>
                        <w:t>uotas pagal pilnai paskirstytų sąnaudų metodą (</w:t>
                      </w:r>
                      <w:r>
                        <w:rPr>
                          <w:i/>
                          <w:iCs/>
                        </w:rPr>
                        <w:t>angl. Fully Distributed Costs – FDC</w:t>
                      </w:r>
                      <w:r>
                        <w:t>),</w:t>
                      </w:r>
                      <w:r>
                        <w:rPr>
                          <w:i/>
                          <w:iCs/>
                        </w:rPr>
                        <w:t xml:space="preserve"> </w:t>
                      </w:r>
                      <w:r>
                        <w:t>ir pateikti Lietuvos Respublikos ryšių reguliavimo tarnybai tai patvirtinančius dokumentus;</w:t>
                      </w:r>
                    </w:p>
                  </w:sdtContent>
                </w:sdt>
                <w:sdt>
                  <w:sdtPr>
                    <w:alias w:val="3.1.2 p."/>
                    <w:tag w:val="part_d82e58a213f548439e852ea1a108d561"/>
                    <w:lock w:val="sdtLocked"/>
                    <w:richText/>
                  </w:sdtPr>
                  <w:sdtContent>
                    <w:p w:rsidR="00A44BF5" w:rsidRDefault="00FA7F3D">
                      <w:pPr>
                        <w:widowControl w:val="0"/>
                        <w:shd w:val="clear" w:color="auto" w:fill="FFFFFF"/>
                        <w:ind w:firstLine="709"/>
                        <w:jc w:val="both"/>
                      </w:pPr>
                      <w:bookmarkStart w:id="25" w:name="Xd82e58a213f548439e852ea1a108d561"/>
                      <w:bookmarkEnd w:id="24"/>
                      <w:r>
                        <w:t xml:space="preserve">3.1.2. tvarkyti sąnaudų apskaitą pagal Sąnaudų apskaitos pagal pilnai paskirstytų sąnaudų metodą taisykles, patvirtintas Lietuvos Respublikos ryšių reguliavimo tarnybos direktoriaus 2006 m. birželio 14 d. įsakymu Nr. 1V-737 „Dėl Lietuvos Respublikos ryšių </w:t>
                      </w:r>
                      <w:r>
                        <w:t>reguliavimo tarnybos direktoriaus 2005 m. gruodžio 28 d. įsakymo Nr. 1V-1164 „Dėl Sąnaudų apskaitos pagal pilnai paskirstytų sąnaudų metodą taisyklių patvirtinimo“ pakeitimo“ (Žin., 2006, Nr. 70-2606).</w:t>
                      </w:r>
                    </w:p>
                  </w:sdtContent>
                </w:sdt>
              </w:sdtContent>
            </w:sdt>
            <w:sdt>
              <w:sdtPr>
                <w:alias w:val="3.2 p."/>
                <w:tag w:val="part_bd701561d5274ea4b460dab9b9108b62"/>
                <w:lock w:val="sdtLocked"/>
                <w:richText/>
              </w:sdtPr>
              <w:sdtContent>
                <w:p w:rsidR="00A44BF5" w:rsidRDefault="00FA7F3D">
                  <w:pPr>
                    <w:widowControl w:val="0"/>
                    <w:shd w:val="clear" w:color="auto" w:fill="FFFFFF"/>
                    <w:ind w:firstLine="709"/>
                    <w:jc w:val="both"/>
                  </w:pPr>
                  <w:bookmarkStart w:id="26" w:name="Xbd701561d5274ea4b460dab9b9108b62"/>
                  <w:bookmarkEnd w:id="25"/>
                  <w:bookmarkEnd w:id="23"/>
                  <w:r>
                    <w:t>3.2. Įpareigojimą tvarkyti apskaitą pagal Apskaitos at</w:t>
                  </w:r>
                  <w:r>
                    <w:t xml:space="preserve">skyrimo taisykles ir su apskaitos atskyrimu susijusius reikalavimus, patvirtintus Lietuvos Respublikos ryšių reguliavimo tarnybos direktoriaus 2006 m. birželio 14 d. įsakymu Nr. 1V-738 „Dėl Apskaitos atskyrimo taisyklių ir su apskaitos atskyrimu susijusių </w:t>
                  </w:r>
                  <w:r>
                    <w:t>reikalavimų patvirtinimo“ (Žin., 2006, Nr. 70-2607) (toliau vadinama – Taisyklės). Ūkio subjektas TEO LT, AB privalo, kiek tai susiję su Tarptautinių skambučių Vartotojams teikimu, tvarkyti apskaitą pagal Taisykles.</w:t>
                  </w:r>
                </w:p>
              </w:sdtContent>
            </w:sdt>
          </w:sdtContent>
        </w:sdt>
        <w:sdt>
          <w:sdtPr>
            <w:alias w:val="4 p."/>
            <w:tag w:val="part_3e0826038ca84a70a5e4399035cc09d7"/>
            <w:lock w:val="sdtLocked"/>
            <w:richText/>
          </w:sdtPr>
          <w:sdtContent>
            <w:p w:rsidR="00A44BF5" w:rsidRDefault="00FA7F3D">
              <w:pPr>
                <w:widowControl w:val="0"/>
                <w:shd w:val="clear" w:color="auto" w:fill="FFFFFF"/>
                <w:ind w:firstLine="709"/>
                <w:jc w:val="both"/>
              </w:pPr>
              <w:bookmarkStart w:id="27" w:name="X3e0826038ca84a70a5e4399035cc09d7"/>
              <w:bookmarkEnd w:id="26"/>
              <w:bookmarkEnd w:id="22"/>
              <w:r>
                <w:t xml:space="preserve">4. </w:t>
              </w:r>
              <w:r>
                <w:rPr>
                  <w:spacing w:val="60"/>
                </w:rPr>
                <w:t>Informuoj</w:t>
              </w:r>
              <w:r>
                <w:t>u, kad šis įsakymas gali būt</w:t>
              </w:r>
              <w:r>
                <w:t>i apskųstas Lietuvos Respublikos administracinių bylų teisenos įstatymo (Žin., 1999, Nr. 13-308; 2000, Nr. 85-2566) nustatyta tvarka ir terminais.</w:t>
              </w:r>
            </w:p>
          </w:sdtContent>
        </w:sdt>
        <w:sdt>
          <w:sdtPr>
            <w:alias w:val="5 p."/>
            <w:tag w:val="part_59ce55fbc2de4f59b59f7e67587f7bed"/>
            <w:lock w:val="sdtLocked"/>
            <w:richText/>
          </w:sdtPr>
          <w:sdtContent>
            <w:p w:rsidR="00A44BF5" w:rsidRDefault="00FA7F3D">
              <w:pPr>
                <w:widowControl w:val="0"/>
                <w:shd w:val="clear" w:color="auto" w:fill="FFFFFF"/>
                <w:ind w:firstLine="709"/>
                <w:jc w:val="both"/>
              </w:pPr>
              <w:bookmarkStart w:id="28" w:name="X59ce55fbc2de4f59b59f7e67587f7bed"/>
              <w:bookmarkEnd w:id="27"/>
              <w:r>
                <w:t xml:space="preserve">5. </w:t>
              </w:r>
              <w:r>
                <w:rPr>
                  <w:spacing w:val="60"/>
                </w:rPr>
                <w:t>Nurodau</w:t>
              </w:r>
              <w:r>
                <w:t xml:space="preserve"> šį įsakymą paskelbti „Valstybės žinių“ priede „Informaciniai pranešimai“.</w:t>
              </w:r>
            </w:p>
            <w:p w:rsidR="00A44BF5" w:rsidRDefault="00A44BF5">
              <w:pPr>
                <w:ind w:firstLine="709"/>
              </w:pPr>
            </w:p>
            <w:p w:rsidR="00A44BF5" w:rsidRDefault="00A44BF5">
              <w:pPr>
                <w:ind w:firstLine="709"/>
              </w:pPr>
            </w:p>
            <w:bookmarkEnd w:id="28"/>
          </w:sdtContent>
        </w:sdt>
        <w:p w:rsidR="00A44BF5" w:rsidRDefault="00FA7F3D">
          <w:pPr>
            <w:pStyle w:val="LLPSignatura"/>
            <w:rPr>
              <w:rStyle w:val="LLCTekstas"/>
            </w:rPr>
          </w:pPr>
          <w:r>
            <w:rPr>
              <w:rStyle w:val="LLCTekstas"/>
            </w:rPr>
            <w:t>DIREKTORIUS</w:t>
          </w:r>
          <w:r>
            <w:rPr>
              <w:rStyle w:val="LLCTekstas"/>
            </w:rPr>
            <w:tab/>
            <w:t>TOMAS BARA</w:t>
          </w:r>
          <w:r>
            <w:rPr>
              <w:rStyle w:val="LLCTekstas"/>
            </w:rPr>
            <w:t>KAUSKAS</w:t>
          </w:r>
        </w:p>
        <w:p w:rsidR="00A44BF5" w:rsidRDefault="00FA7F3D">
          <w:pPr>
            <w:jc w:val="center"/>
          </w:pPr>
          <w:r>
            <w:t>______________</w:t>
          </w:r>
        </w:p>
        <w:sectPr w:rsidR="00A44BF5" w:rsidSect="00A44BF5">
          <w:headerReference w:type="even" r:id="rId8"/>
          <w:headerReference w:type="default" r:id="rId9"/>
          <w:footerReference w:type="even" r:id="rId10"/>
          <w:footerReference w:type="default" r:id="rId11"/>
          <w:headerReference w:type="first" r:id="rId12"/>
          <w:footerReference w:type="first" r:id="rId13"/>
          <w:pgSz w:w="11907" w:h="16839" w:code="9"/>
          <w:pgMar w:top="1134" w:right="567" w:bottom="1134" w:left="1701" w:header="709" w:footer="709" w:gutter="0"/>
          <w:cols w:space="708"/>
          <w:titlePg/>
          <w:docGrid w:linePitch="326"/>
        </w:sectPr>
        <w:bookmarkEnd w:id="-1"/>
      </w:sdtContent>
    </w:sdt>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BF5" w:rsidRDefault="00FA7F3D">
      <w:r>
        <w:separator/>
      </w:r>
    </w:p>
  </w:endnote>
  <w:endnote w:type="continuationSeparator" w:id="0">
    <w:p w:rsidR="00A44BF5" w:rsidRDefault="00FA7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TimesLT">
    <w:altName w:val="Times New Roman"/>
    <w:charset w:val="00"/>
    <w:family w:val="roman"/>
    <w:pitch w:val="variable"/>
    <w:sig w:usb0="00000001" w:usb1="00000000" w:usb2="00000000" w:usb3="00000000" w:csb0="0000009F" w:csb1="00000000"/>
  </w:font>
  <w:font w:name="Courier New">
    <w:panose1 w:val="02070309020205020404"/>
    <w:charset w:val="BA"/>
    <w:family w:val="modern"/>
    <w:pitch w:val="fixed"/>
    <w:sig w:usb0="E0002AFF" w:usb1="C0007843" w:usb2="00000009" w:usb3="00000000" w:csb0="000001FF" w:csb1="00000000"/>
  </w:font>
  <w:font w:name="Verdana">
    <w:panose1 w:val="020B0604030504040204"/>
    <w:charset w:val="BA"/>
    <w:family w:val="swiss"/>
    <w:pitch w:val="variable"/>
    <w:sig w:usb0="20000287" w:usb1="00000000" w:usb2="00000000" w:usb3="00000000" w:csb0="0000019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BF5" w:rsidRDefault="00A44B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BF5" w:rsidRDefault="00A44BF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BF5" w:rsidRDefault="00A44B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BF5" w:rsidRDefault="00FA7F3D">
      <w:r>
        <w:separator/>
      </w:r>
    </w:p>
  </w:footnote>
  <w:footnote w:type="continuationSeparator" w:id="0">
    <w:p w:rsidR="00A44BF5" w:rsidRDefault="00FA7F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BF5" w:rsidRDefault="00A44BF5">
    <w:pPr>
      <w:pStyle w:val="Header"/>
      <w:framePr w:wrap="around" w:vAnchor="text" w:hAnchor="margin" w:xAlign="center" w:y="1"/>
      <w:rPr>
        <w:rStyle w:val="PageNumber"/>
      </w:rPr>
    </w:pPr>
    <w:r>
      <w:rPr>
        <w:rStyle w:val="PageNumber"/>
      </w:rPr>
      <w:fldChar w:fldCharType="begin"/>
    </w:r>
    <w:r w:rsidR="00FA7F3D">
      <w:rPr>
        <w:rStyle w:val="PageNumber"/>
      </w:rPr>
      <w:instrText xml:space="preserve">PAGE  </w:instrText>
    </w:r>
    <w:r>
      <w:rPr>
        <w:rStyle w:val="PageNumber"/>
      </w:rPr>
      <w:fldChar w:fldCharType="end"/>
    </w:r>
  </w:p>
  <w:p w:rsidR="00A44BF5" w:rsidRDefault="00A44B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BF5" w:rsidRDefault="00A44BF5">
    <w:pPr>
      <w:pStyle w:val="Header"/>
      <w:framePr w:wrap="around" w:vAnchor="text" w:hAnchor="margin" w:xAlign="center" w:y="1"/>
      <w:rPr>
        <w:rStyle w:val="PageNumber"/>
      </w:rPr>
    </w:pPr>
    <w:r>
      <w:rPr>
        <w:rStyle w:val="PageNumber"/>
      </w:rPr>
      <w:fldChar w:fldCharType="begin"/>
    </w:r>
    <w:r w:rsidR="00FA7F3D">
      <w:rPr>
        <w:rStyle w:val="PageNumber"/>
      </w:rPr>
      <w:instrText xml:space="preserve">PAGE  </w:instrText>
    </w:r>
    <w:r>
      <w:rPr>
        <w:rStyle w:val="PageNumber"/>
      </w:rPr>
      <w:fldChar w:fldCharType="separate"/>
    </w:r>
    <w:r w:rsidR="00FA7F3D">
      <w:rPr>
        <w:rStyle w:val="PageNumber"/>
        <w:noProof/>
      </w:rPr>
      <w:t>2</w:t>
    </w:r>
    <w:r>
      <w:rPr>
        <w:rStyle w:val="PageNumber"/>
      </w:rPr>
      <w:fldChar w:fldCharType="end"/>
    </w:r>
  </w:p>
  <w:p w:rsidR="00A44BF5" w:rsidRDefault="00A44BF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BF5" w:rsidRDefault="00A44B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DBEA3F2"/>
    <w:lvl w:ilvl="0">
      <w:start w:val="1"/>
      <w:numFmt w:val="decimal"/>
      <w:lvlText w:val="%1."/>
      <w:lvlJc w:val="left"/>
      <w:pPr>
        <w:tabs>
          <w:tab w:val="num" w:pos="1492"/>
        </w:tabs>
        <w:ind w:left="1492" w:hanging="360"/>
      </w:pPr>
    </w:lvl>
  </w:abstractNum>
  <w:abstractNum w:abstractNumId="1">
    <w:nsid w:val="FFFFFF7D"/>
    <w:multiLevelType w:val="singleLevel"/>
    <w:tmpl w:val="84809E24"/>
    <w:lvl w:ilvl="0">
      <w:start w:val="1"/>
      <w:numFmt w:val="decimal"/>
      <w:lvlText w:val="%1."/>
      <w:lvlJc w:val="left"/>
      <w:pPr>
        <w:tabs>
          <w:tab w:val="num" w:pos="1209"/>
        </w:tabs>
        <w:ind w:left="1209" w:hanging="360"/>
      </w:pPr>
    </w:lvl>
  </w:abstractNum>
  <w:abstractNum w:abstractNumId="2">
    <w:nsid w:val="FFFFFF7E"/>
    <w:multiLevelType w:val="singleLevel"/>
    <w:tmpl w:val="E278B9B4"/>
    <w:lvl w:ilvl="0">
      <w:start w:val="1"/>
      <w:numFmt w:val="decimal"/>
      <w:lvlText w:val="%1."/>
      <w:lvlJc w:val="left"/>
      <w:pPr>
        <w:tabs>
          <w:tab w:val="num" w:pos="926"/>
        </w:tabs>
        <w:ind w:left="926" w:hanging="360"/>
      </w:pPr>
    </w:lvl>
  </w:abstractNum>
  <w:abstractNum w:abstractNumId="3">
    <w:nsid w:val="FFFFFF7F"/>
    <w:multiLevelType w:val="singleLevel"/>
    <w:tmpl w:val="06541848"/>
    <w:lvl w:ilvl="0">
      <w:start w:val="1"/>
      <w:numFmt w:val="decimal"/>
      <w:lvlText w:val="%1."/>
      <w:lvlJc w:val="left"/>
      <w:pPr>
        <w:tabs>
          <w:tab w:val="num" w:pos="643"/>
        </w:tabs>
        <w:ind w:left="643" w:hanging="360"/>
      </w:pPr>
    </w:lvl>
  </w:abstractNum>
  <w:abstractNum w:abstractNumId="4">
    <w:nsid w:val="FFFFFF80"/>
    <w:multiLevelType w:val="singleLevel"/>
    <w:tmpl w:val="5A2E178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95054C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7162D0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A1E47E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390BDEE"/>
    <w:lvl w:ilvl="0">
      <w:start w:val="1"/>
      <w:numFmt w:val="decimal"/>
      <w:lvlText w:val="%1."/>
      <w:lvlJc w:val="left"/>
      <w:pPr>
        <w:tabs>
          <w:tab w:val="num" w:pos="360"/>
        </w:tabs>
        <w:ind w:left="360" w:hanging="360"/>
      </w:pPr>
    </w:lvl>
  </w:abstractNum>
  <w:abstractNum w:abstractNumId="9">
    <w:nsid w:val="FFFFFF89"/>
    <w:multiLevelType w:val="singleLevel"/>
    <w:tmpl w:val="FA5A15F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396"/>
  <w:doNotHyphenateCaps/>
  <w:drawingGridHorizontalSpacing w:val="57"/>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BF5"/>
    <w:rsid w:val="00A44BF5"/>
    <w:rsid w:val="00FA7F3D"/>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0F32"/>
    <w:rPr>
      <w:sz w:val="24"/>
      <w:lang w:eastAsia="en-US"/>
    </w:rPr>
  </w:style>
  <w:style w:type="paragraph" w:styleId="Heading1">
    <w:name w:val="heading 1"/>
    <w:basedOn w:val="Normal"/>
    <w:next w:val="Normal"/>
    <w:qFormat/>
    <w:rsid w:val="007C0F32"/>
    <w:pPr>
      <w:keepNext/>
      <w:spacing w:before="240" w:after="60"/>
      <w:outlineLvl w:val="0"/>
    </w:pPr>
    <w:rPr>
      <w:rFonts w:ascii="Arial" w:hAnsi="Arial"/>
      <w:b/>
      <w:kern w:val="28"/>
      <w:sz w:val="28"/>
    </w:rPr>
  </w:style>
  <w:style w:type="paragraph" w:styleId="Heading4">
    <w:name w:val="heading 4"/>
    <w:basedOn w:val="Normal"/>
    <w:next w:val="Normal"/>
    <w:qFormat/>
    <w:rsid w:val="007C0F32"/>
    <w:pPr>
      <w:keepNext/>
      <w:numPr>
        <w:ilvl w:val="12"/>
      </w:numPr>
      <w:tabs>
        <w:tab w:val="left" w:pos="270"/>
      </w:tabs>
      <w:spacing w:line="240" w:lineRule="exact"/>
      <w:jc w:val="right"/>
      <w:outlineLvl w:val="3"/>
    </w:pPr>
    <w:rPr>
      <w:rFonts w:ascii="TimesLT" w:hAnsi="TimesLT"/>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C0F32"/>
    <w:pPr>
      <w:tabs>
        <w:tab w:val="center" w:pos="4153"/>
        <w:tab w:val="right" w:pos="8306"/>
      </w:tabs>
    </w:pPr>
    <w:rPr>
      <w:lang w:val="en-GB"/>
    </w:rPr>
  </w:style>
  <w:style w:type="paragraph" w:styleId="Footer">
    <w:name w:val="footer"/>
    <w:basedOn w:val="Normal"/>
    <w:rsid w:val="007C0F32"/>
    <w:pPr>
      <w:tabs>
        <w:tab w:val="center" w:pos="4819"/>
        <w:tab w:val="right" w:pos="9638"/>
      </w:tabs>
    </w:pPr>
  </w:style>
  <w:style w:type="character" w:styleId="PageNumber">
    <w:name w:val="page number"/>
    <w:basedOn w:val="DefaultParagraphFont"/>
    <w:rsid w:val="007C0F32"/>
  </w:style>
  <w:style w:type="paragraph" w:customStyle="1" w:styleId="Stilius1">
    <w:name w:val="Stilius1"/>
    <w:basedOn w:val="Normal"/>
    <w:autoRedefine/>
    <w:rsid w:val="007C0F32"/>
  </w:style>
  <w:style w:type="paragraph" w:customStyle="1" w:styleId="Stilius2">
    <w:name w:val="Stilius2"/>
    <w:basedOn w:val="Heading1"/>
    <w:autoRedefine/>
    <w:rsid w:val="007C0F32"/>
    <w:rPr>
      <w:rFonts w:ascii="Times New Roman" w:hAnsi="Times New Roman"/>
    </w:rPr>
  </w:style>
  <w:style w:type="paragraph" w:customStyle="1" w:styleId="Stilius3">
    <w:name w:val="Stilius3"/>
    <w:basedOn w:val="Heading1"/>
    <w:autoRedefine/>
    <w:rsid w:val="007C0F32"/>
  </w:style>
  <w:style w:type="paragraph" w:customStyle="1" w:styleId="Stilius4">
    <w:name w:val="Stilius4"/>
    <w:basedOn w:val="Heading1"/>
    <w:autoRedefine/>
    <w:rsid w:val="007C0F32"/>
    <w:rPr>
      <w:rFonts w:ascii="Times New Roman" w:hAnsi="Times New Roman"/>
    </w:rPr>
  </w:style>
  <w:style w:type="paragraph" w:customStyle="1" w:styleId="Preformatted">
    <w:name w:val="Preformatted"/>
    <w:basedOn w:val="Normal"/>
    <w:rsid w:val="007C0F3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LLPTekstas">
    <w:name w:val="LLPTekstas"/>
    <w:basedOn w:val="Normal"/>
    <w:rsid w:val="007C0F32"/>
    <w:pPr>
      <w:ind w:firstLine="567"/>
      <w:jc w:val="both"/>
    </w:pPr>
  </w:style>
  <w:style w:type="paragraph" w:customStyle="1" w:styleId="LLPPavadinimas">
    <w:name w:val="LLPPavadinimas"/>
    <w:basedOn w:val="LLPTekstas"/>
    <w:rsid w:val="007C0F32"/>
    <w:pPr>
      <w:ind w:firstLine="0"/>
      <w:jc w:val="center"/>
    </w:pPr>
    <w:rPr>
      <w:b/>
    </w:rPr>
  </w:style>
  <w:style w:type="paragraph" w:customStyle="1" w:styleId="LLPNepastraip">
    <w:name w:val="LLPNepastraip"/>
    <w:basedOn w:val="LLPTekstas"/>
    <w:rsid w:val="007C0F32"/>
    <w:pPr>
      <w:ind w:firstLine="0"/>
      <w:jc w:val="left"/>
    </w:pPr>
  </w:style>
  <w:style w:type="character" w:styleId="CommentReference">
    <w:name w:val="annotation reference"/>
    <w:basedOn w:val="DefaultParagraphFont"/>
    <w:semiHidden/>
    <w:rsid w:val="007C0F32"/>
    <w:rPr>
      <w:sz w:val="16"/>
    </w:rPr>
  </w:style>
  <w:style w:type="paragraph" w:styleId="CommentText">
    <w:name w:val="annotation text"/>
    <w:basedOn w:val="Normal"/>
    <w:semiHidden/>
    <w:rsid w:val="007C0F32"/>
  </w:style>
  <w:style w:type="character" w:styleId="Hyperlink">
    <w:name w:val="Hyperlink"/>
    <w:basedOn w:val="DefaultParagraphFont"/>
    <w:rsid w:val="007C0F32"/>
    <w:rPr>
      <w:color w:val="0000FF"/>
      <w:u w:val="single"/>
    </w:rPr>
  </w:style>
  <w:style w:type="character" w:styleId="FollowedHyperlink">
    <w:name w:val="FollowedHyperlink"/>
    <w:basedOn w:val="DefaultParagraphFont"/>
    <w:rsid w:val="007C0F32"/>
    <w:rPr>
      <w:color w:val="800080"/>
      <w:u w:val="single"/>
    </w:rPr>
  </w:style>
  <w:style w:type="character" w:customStyle="1" w:styleId="LLCStraipsnis">
    <w:name w:val="LLCStraipsnis"/>
    <w:basedOn w:val="LLCTekstas"/>
    <w:rsid w:val="007C0F32"/>
    <w:rPr>
      <w:b/>
      <w:color w:val="auto"/>
    </w:rPr>
  </w:style>
  <w:style w:type="character" w:customStyle="1" w:styleId="LLCRedakcija">
    <w:name w:val="LLCRedakcija"/>
    <w:basedOn w:val="LLCTekstas"/>
    <w:rsid w:val="007C0F32"/>
    <w:rPr>
      <w:i/>
      <w:color w:val="auto"/>
    </w:rPr>
  </w:style>
  <w:style w:type="paragraph" w:customStyle="1" w:styleId="LLPStraipsnis">
    <w:name w:val="LLPStraipsnis"/>
    <w:basedOn w:val="LLPTekstas"/>
    <w:next w:val="LLPTekstas"/>
    <w:rsid w:val="007C0F32"/>
    <w:pPr>
      <w:ind w:left="1843" w:hanging="1276"/>
    </w:pPr>
  </w:style>
  <w:style w:type="character" w:customStyle="1" w:styleId="LLCTekstas">
    <w:name w:val="LLCTekstas"/>
    <w:basedOn w:val="DefaultParagraphFont"/>
    <w:rsid w:val="007C0F32"/>
    <w:rPr>
      <w:color w:val="auto"/>
    </w:rPr>
  </w:style>
  <w:style w:type="character" w:customStyle="1" w:styleId="LLCStraipsnPav">
    <w:name w:val="LLCStraipsnPav"/>
    <w:basedOn w:val="LLCStraipsnis"/>
    <w:rsid w:val="007C0F32"/>
    <w:rPr>
      <w:rFonts w:ascii="Times New Roman" w:hAnsi="Times New Roman"/>
      <w:b/>
      <w:color w:val="auto"/>
      <w:sz w:val="24"/>
    </w:rPr>
  </w:style>
  <w:style w:type="character" w:customStyle="1" w:styleId="LLCFixed">
    <w:name w:val="LLCFixed"/>
    <w:basedOn w:val="DefaultParagraphFont"/>
    <w:rsid w:val="007C0F32"/>
    <w:rPr>
      <w:rFonts w:ascii="Courier New" w:hAnsi="Courier New"/>
      <w:noProof w:val="0"/>
      <w:sz w:val="20"/>
      <w:lang w:val="lt-LT"/>
    </w:rPr>
  </w:style>
  <w:style w:type="paragraph" w:customStyle="1" w:styleId="LLPSignatura">
    <w:name w:val="LLPSignatura"/>
    <w:basedOn w:val="LLPNepastraip"/>
    <w:autoRedefine/>
    <w:rsid w:val="007C0F32"/>
    <w:pPr>
      <w:tabs>
        <w:tab w:val="right" w:pos="9639"/>
      </w:tabs>
    </w:pPr>
    <w:rPr>
      <w:caps/>
    </w:rPr>
  </w:style>
  <w:style w:type="paragraph" w:customStyle="1" w:styleId="LLPPriedelis">
    <w:name w:val="LLPPriedelis"/>
    <w:basedOn w:val="LLPTekstas"/>
    <w:autoRedefine/>
    <w:rsid w:val="007C0F32"/>
    <w:pPr>
      <w:ind w:firstLine="5103"/>
      <w:jc w:val="left"/>
    </w:pPr>
  </w:style>
  <w:style w:type="paragraph" w:customStyle="1" w:styleId="LLPPunktoRedakcija">
    <w:name w:val="LLPPunktoRedakcija"/>
    <w:basedOn w:val="LLPTekstas"/>
    <w:rsid w:val="007C0F32"/>
    <w:pPr>
      <w:tabs>
        <w:tab w:val="left" w:pos="992"/>
      </w:tabs>
      <w:ind w:left="992" w:hanging="425"/>
    </w:pPr>
  </w:style>
  <w:style w:type="paragraph" w:customStyle="1" w:styleId="LLPStraipsnPav">
    <w:name w:val="LLPStraipsnPav"/>
    <w:basedOn w:val="LLPStraipsnis"/>
    <w:rsid w:val="007C0F32"/>
    <w:pPr>
      <w:ind w:left="2410" w:hanging="1701"/>
    </w:pPr>
    <w:rPr>
      <w:b/>
    </w:rPr>
  </w:style>
  <w:style w:type="paragraph" w:styleId="BodyTextIndent">
    <w:name w:val="Body Text Indent"/>
    <w:basedOn w:val="Normal"/>
    <w:rsid w:val="007C0F32"/>
    <w:pPr>
      <w:numPr>
        <w:ilvl w:val="12"/>
      </w:numPr>
      <w:tabs>
        <w:tab w:val="left" w:pos="270"/>
      </w:tabs>
      <w:spacing w:line="360" w:lineRule="auto"/>
      <w:ind w:firstLine="567"/>
      <w:jc w:val="both"/>
    </w:pPr>
    <w:rPr>
      <w:rFonts w:ascii="TimesLT" w:hAnsi="TimesLT"/>
    </w:rPr>
  </w:style>
  <w:style w:type="paragraph" w:customStyle="1" w:styleId="LLPEndLine">
    <w:name w:val="LLPEndLine"/>
    <w:basedOn w:val="LLPSignatura"/>
    <w:rsid w:val="007C0F32"/>
    <w:pPr>
      <w:jc w:val="center"/>
    </w:pPr>
  </w:style>
  <w:style w:type="paragraph" w:styleId="BodyText2">
    <w:name w:val="Body Text 2"/>
    <w:basedOn w:val="Normal"/>
    <w:rsid w:val="007C0F32"/>
    <w:pPr>
      <w:tabs>
        <w:tab w:val="left" w:pos="0"/>
      </w:tabs>
      <w:spacing w:line="360" w:lineRule="auto"/>
      <w:jc w:val="both"/>
    </w:pPr>
    <w:rPr>
      <w:rFonts w:ascii="TimesLT" w:hAnsi="TimesLT"/>
    </w:rPr>
  </w:style>
  <w:style w:type="paragraph" w:customStyle="1" w:styleId="TPSkyrius">
    <w:name w:val="TPSkyrius"/>
    <w:basedOn w:val="Normal"/>
    <w:rsid w:val="007C0F32"/>
    <w:pPr>
      <w:autoSpaceDE w:val="0"/>
      <w:autoSpaceDN w:val="0"/>
      <w:adjustRightInd w:val="0"/>
    </w:pPr>
    <w:rPr>
      <w:rFonts w:cs="Courier New"/>
      <w:noProof/>
      <w:sz w:val="22"/>
    </w:rPr>
  </w:style>
  <w:style w:type="paragraph" w:customStyle="1" w:styleId="TPSkirsnis">
    <w:name w:val="TPSkirsnis"/>
    <w:basedOn w:val="Normal"/>
    <w:link w:val="TPSkirsnisChar"/>
    <w:rsid w:val="007C0F32"/>
    <w:pPr>
      <w:autoSpaceDE w:val="0"/>
      <w:autoSpaceDN w:val="0"/>
      <w:adjustRightInd w:val="0"/>
    </w:pPr>
    <w:rPr>
      <w:rFonts w:cs="Courier New"/>
      <w:noProof/>
      <w:sz w:val="22"/>
    </w:rPr>
  </w:style>
  <w:style w:type="character" w:customStyle="1" w:styleId="TPSkirsnisChar">
    <w:name w:val="TPSkirsnis Char"/>
    <w:basedOn w:val="DefaultParagraphFont"/>
    <w:link w:val="TPSkirsnis"/>
    <w:rsid w:val="007C0F32"/>
    <w:rPr>
      <w:rFonts w:cs="Courier New"/>
      <w:noProof/>
      <w:sz w:val="22"/>
      <w:lang w:val="lt-LT" w:eastAsia="en-US" w:bidi="ar-SA"/>
    </w:rPr>
  </w:style>
  <w:style w:type="paragraph" w:customStyle="1" w:styleId="TPStraipsnis">
    <w:name w:val="TPStraipsnis"/>
    <w:basedOn w:val="Normal"/>
    <w:rsid w:val="007C0F32"/>
    <w:pPr>
      <w:autoSpaceDE w:val="0"/>
      <w:autoSpaceDN w:val="0"/>
      <w:adjustRightInd w:val="0"/>
    </w:pPr>
    <w:rPr>
      <w:rFonts w:cs="Courier New"/>
      <w:noProof/>
      <w:sz w:val="22"/>
    </w:rPr>
  </w:style>
  <w:style w:type="paragraph" w:customStyle="1" w:styleId="TPDalis">
    <w:name w:val="TPDalis"/>
    <w:basedOn w:val="Normal"/>
    <w:rsid w:val="007C0F32"/>
    <w:pPr>
      <w:autoSpaceDE w:val="0"/>
      <w:autoSpaceDN w:val="0"/>
      <w:adjustRightInd w:val="0"/>
    </w:pPr>
    <w:rPr>
      <w:rFonts w:cs="Courier New"/>
      <w:noProof/>
      <w:sz w:val="22"/>
    </w:rPr>
  </w:style>
  <w:style w:type="paragraph" w:customStyle="1" w:styleId="TPPunktas">
    <w:name w:val="TPPunktas"/>
    <w:basedOn w:val="Normal"/>
    <w:rsid w:val="007C0F32"/>
    <w:pPr>
      <w:autoSpaceDE w:val="0"/>
      <w:autoSpaceDN w:val="0"/>
      <w:adjustRightInd w:val="0"/>
    </w:pPr>
    <w:rPr>
      <w:rFonts w:cs="Courier New"/>
      <w:noProof/>
      <w:sz w:val="22"/>
    </w:rPr>
  </w:style>
  <w:style w:type="paragraph" w:customStyle="1" w:styleId="TPPapunktis">
    <w:name w:val="TPPapunktis"/>
    <w:basedOn w:val="Normal"/>
    <w:rsid w:val="007C0F32"/>
    <w:pPr>
      <w:autoSpaceDE w:val="0"/>
      <w:autoSpaceDN w:val="0"/>
      <w:adjustRightInd w:val="0"/>
    </w:pPr>
    <w:rPr>
      <w:rFonts w:cs="Courier New"/>
      <w:noProof/>
    </w:rPr>
  </w:style>
  <w:style w:type="paragraph" w:customStyle="1" w:styleId="TPPriedas">
    <w:name w:val="TPPriedas"/>
    <w:basedOn w:val="Normal"/>
    <w:rsid w:val="007C0F32"/>
    <w:pPr>
      <w:autoSpaceDE w:val="0"/>
      <w:autoSpaceDN w:val="0"/>
      <w:adjustRightInd w:val="0"/>
    </w:pPr>
    <w:rPr>
      <w:rFonts w:ascii="Courier New" w:hAnsi="Courier New" w:cs="Courier New"/>
      <w:noProof/>
    </w:rPr>
  </w:style>
  <w:style w:type="character" w:customStyle="1" w:styleId="TCSkyrius">
    <w:name w:val="TCSkyrius"/>
    <w:basedOn w:val="DefaultParagraphFont"/>
    <w:rsid w:val="007C0F32"/>
    <w:rPr>
      <w:rFonts w:ascii="Times New Roman" w:hAnsi="Times New Roman"/>
      <w:sz w:val="22"/>
    </w:rPr>
  </w:style>
  <w:style w:type="character" w:customStyle="1" w:styleId="TCSkirsnis">
    <w:name w:val="TCSkirsnis"/>
    <w:basedOn w:val="DefaultParagraphFont"/>
    <w:rsid w:val="007C0F32"/>
    <w:rPr>
      <w:rFonts w:ascii="Times New Roman" w:hAnsi="Times New Roman"/>
      <w:sz w:val="22"/>
    </w:rPr>
  </w:style>
  <w:style w:type="character" w:customStyle="1" w:styleId="TCStraipsnis">
    <w:name w:val="TCStraipsnis"/>
    <w:basedOn w:val="DefaultParagraphFont"/>
    <w:rsid w:val="007C0F32"/>
    <w:rPr>
      <w:rFonts w:ascii="Times New Roman" w:hAnsi="Times New Roman"/>
      <w:sz w:val="22"/>
    </w:rPr>
  </w:style>
  <w:style w:type="character" w:customStyle="1" w:styleId="Dalis">
    <w:name w:val="Dalis"/>
    <w:basedOn w:val="DefaultParagraphFont"/>
    <w:rsid w:val="007C0F32"/>
    <w:rPr>
      <w:rFonts w:ascii="Times New Roman" w:hAnsi="Times New Roman"/>
      <w:sz w:val="22"/>
    </w:rPr>
  </w:style>
  <w:style w:type="character" w:customStyle="1" w:styleId="TCPunktas">
    <w:name w:val="TCPunktas"/>
    <w:basedOn w:val="DefaultParagraphFont"/>
    <w:rsid w:val="007C0F32"/>
    <w:rPr>
      <w:rFonts w:ascii="Verdana" w:hAnsi="Verdana"/>
      <w:sz w:val="24"/>
    </w:rPr>
  </w:style>
  <w:style w:type="character" w:customStyle="1" w:styleId="TCPapunktis">
    <w:name w:val="TCPapunktis"/>
    <w:basedOn w:val="DefaultParagraphFont"/>
    <w:rsid w:val="007C0F32"/>
    <w:rPr>
      <w:rFonts w:ascii="Verdana" w:hAnsi="Verdana"/>
      <w:sz w:val="20"/>
    </w:rPr>
  </w:style>
  <w:style w:type="character" w:customStyle="1" w:styleId="TCPriedas">
    <w:name w:val="TCPriedas"/>
    <w:basedOn w:val="DefaultParagraphFont"/>
    <w:rsid w:val="007C0F32"/>
    <w:rPr>
      <w:rFonts w:ascii="Courier New" w:hAnsi="Courier New"/>
      <w:sz w:val="20"/>
    </w:rPr>
  </w:style>
  <w:style w:type="character" w:customStyle="1" w:styleId="TCDalis">
    <w:name w:val="TCDalis"/>
    <w:basedOn w:val="DefaultParagraphFont"/>
    <w:rsid w:val="007C0F32"/>
    <w:rPr>
      <w:rFonts w:ascii="Times New Roman" w:hAnsi="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0F32"/>
    <w:rPr>
      <w:sz w:val="24"/>
      <w:lang w:eastAsia="en-US"/>
    </w:rPr>
  </w:style>
  <w:style w:type="paragraph" w:styleId="Heading1">
    <w:name w:val="heading 1"/>
    <w:basedOn w:val="Normal"/>
    <w:next w:val="Normal"/>
    <w:qFormat/>
    <w:rsid w:val="007C0F32"/>
    <w:pPr>
      <w:keepNext/>
      <w:spacing w:before="240" w:after="60"/>
      <w:outlineLvl w:val="0"/>
    </w:pPr>
    <w:rPr>
      <w:rFonts w:ascii="Arial" w:hAnsi="Arial"/>
      <w:b/>
      <w:kern w:val="28"/>
      <w:sz w:val="28"/>
    </w:rPr>
  </w:style>
  <w:style w:type="paragraph" w:styleId="Heading4">
    <w:name w:val="heading 4"/>
    <w:basedOn w:val="Normal"/>
    <w:next w:val="Normal"/>
    <w:qFormat/>
    <w:rsid w:val="007C0F32"/>
    <w:pPr>
      <w:keepNext/>
      <w:numPr>
        <w:ilvl w:val="12"/>
      </w:numPr>
      <w:tabs>
        <w:tab w:val="left" w:pos="270"/>
      </w:tabs>
      <w:spacing w:line="240" w:lineRule="exact"/>
      <w:jc w:val="right"/>
      <w:outlineLvl w:val="3"/>
    </w:pPr>
    <w:rPr>
      <w:rFonts w:ascii="TimesLT" w:hAnsi="TimesLT"/>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C0F32"/>
    <w:pPr>
      <w:tabs>
        <w:tab w:val="center" w:pos="4153"/>
        <w:tab w:val="right" w:pos="8306"/>
      </w:tabs>
    </w:pPr>
    <w:rPr>
      <w:lang w:val="en-GB"/>
    </w:rPr>
  </w:style>
  <w:style w:type="paragraph" w:styleId="Footer">
    <w:name w:val="footer"/>
    <w:basedOn w:val="Normal"/>
    <w:rsid w:val="007C0F32"/>
    <w:pPr>
      <w:tabs>
        <w:tab w:val="center" w:pos="4819"/>
        <w:tab w:val="right" w:pos="9638"/>
      </w:tabs>
    </w:pPr>
  </w:style>
  <w:style w:type="character" w:styleId="PageNumber">
    <w:name w:val="page number"/>
    <w:basedOn w:val="DefaultParagraphFont"/>
    <w:rsid w:val="007C0F32"/>
  </w:style>
  <w:style w:type="paragraph" w:customStyle="1" w:styleId="Stilius1">
    <w:name w:val="Stilius1"/>
    <w:basedOn w:val="Normal"/>
    <w:autoRedefine/>
    <w:rsid w:val="007C0F32"/>
  </w:style>
  <w:style w:type="paragraph" w:customStyle="1" w:styleId="Stilius2">
    <w:name w:val="Stilius2"/>
    <w:basedOn w:val="Heading1"/>
    <w:autoRedefine/>
    <w:rsid w:val="007C0F32"/>
    <w:rPr>
      <w:rFonts w:ascii="Times New Roman" w:hAnsi="Times New Roman"/>
    </w:rPr>
  </w:style>
  <w:style w:type="paragraph" w:customStyle="1" w:styleId="Stilius3">
    <w:name w:val="Stilius3"/>
    <w:basedOn w:val="Heading1"/>
    <w:autoRedefine/>
    <w:rsid w:val="007C0F32"/>
  </w:style>
  <w:style w:type="paragraph" w:customStyle="1" w:styleId="Stilius4">
    <w:name w:val="Stilius4"/>
    <w:basedOn w:val="Heading1"/>
    <w:autoRedefine/>
    <w:rsid w:val="007C0F32"/>
    <w:rPr>
      <w:rFonts w:ascii="Times New Roman" w:hAnsi="Times New Roman"/>
    </w:rPr>
  </w:style>
  <w:style w:type="paragraph" w:customStyle="1" w:styleId="Preformatted">
    <w:name w:val="Preformatted"/>
    <w:basedOn w:val="Normal"/>
    <w:rsid w:val="007C0F3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LLPTekstas">
    <w:name w:val="LLPTekstas"/>
    <w:basedOn w:val="Normal"/>
    <w:rsid w:val="007C0F32"/>
    <w:pPr>
      <w:ind w:firstLine="567"/>
      <w:jc w:val="both"/>
    </w:pPr>
  </w:style>
  <w:style w:type="paragraph" w:customStyle="1" w:styleId="LLPPavadinimas">
    <w:name w:val="LLPPavadinimas"/>
    <w:basedOn w:val="LLPTekstas"/>
    <w:rsid w:val="007C0F32"/>
    <w:pPr>
      <w:ind w:firstLine="0"/>
      <w:jc w:val="center"/>
    </w:pPr>
    <w:rPr>
      <w:b/>
    </w:rPr>
  </w:style>
  <w:style w:type="paragraph" w:customStyle="1" w:styleId="LLPNepastraip">
    <w:name w:val="LLPNepastraip"/>
    <w:basedOn w:val="LLPTekstas"/>
    <w:rsid w:val="007C0F32"/>
    <w:pPr>
      <w:ind w:firstLine="0"/>
      <w:jc w:val="left"/>
    </w:pPr>
  </w:style>
  <w:style w:type="character" w:styleId="CommentReference">
    <w:name w:val="annotation reference"/>
    <w:basedOn w:val="DefaultParagraphFont"/>
    <w:semiHidden/>
    <w:rsid w:val="007C0F32"/>
    <w:rPr>
      <w:sz w:val="16"/>
    </w:rPr>
  </w:style>
  <w:style w:type="paragraph" w:styleId="CommentText">
    <w:name w:val="annotation text"/>
    <w:basedOn w:val="Normal"/>
    <w:semiHidden/>
    <w:rsid w:val="007C0F32"/>
  </w:style>
  <w:style w:type="character" w:styleId="Hyperlink">
    <w:name w:val="Hyperlink"/>
    <w:basedOn w:val="DefaultParagraphFont"/>
    <w:rsid w:val="007C0F32"/>
    <w:rPr>
      <w:color w:val="0000FF"/>
      <w:u w:val="single"/>
    </w:rPr>
  </w:style>
  <w:style w:type="character" w:styleId="FollowedHyperlink">
    <w:name w:val="FollowedHyperlink"/>
    <w:basedOn w:val="DefaultParagraphFont"/>
    <w:rsid w:val="007C0F32"/>
    <w:rPr>
      <w:color w:val="800080"/>
      <w:u w:val="single"/>
    </w:rPr>
  </w:style>
  <w:style w:type="character" w:customStyle="1" w:styleId="LLCStraipsnis">
    <w:name w:val="LLCStraipsnis"/>
    <w:basedOn w:val="LLCTekstas"/>
    <w:rsid w:val="007C0F32"/>
    <w:rPr>
      <w:b/>
      <w:color w:val="auto"/>
    </w:rPr>
  </w:style>
  <w:style w:type="character" w:customStyle="1" w:styleId="LLCRedakcija">
    <w:name w:val="LLCRedakcija"/>
    <w:basedOn w:val="LLCTekstas"/>
    <w:rsid w:val="007C0F32"/>
    <w:rPr>
      <w:i/>
      <w:color w:val="auto"/>
    </w:rPr>
  </w:style>
  <w:style w:type="paragraph" w:customStyle="1" w:styleId="LLPStraipsnis">
    <w:name w:val="LLPStraipsnis"/>
    <w:basedOn w:val="LLPTekstas"/>
    <w:next w:val="LLPTekstas"/>
    <w:rsid w:val="007C0F32"/>
    <w:pPr>
      <w:ind w:left="1843" w:hanging="1276"/>
    </w:pPr>
  </w:style>
  <w:style w:type="character" w:customStyle="1" w:styleId="LLCTekstas">
    <w:name w:val="LLCTekstas"/>
    <w:basedOn w:val="DefaultParagraphFont"/>
    <w:rsid w:val="007C0F32"/>
    <w:rPr>
      <w:color w:val="auto"/>
    </w:rPr>
  </w:style>
  <w:style w:type="character" w:customStyle="1" w:styleId="LLCStraipsnPav">
    <w:name w:val="LLCStraipsnPav"/>
    <w:basedOn w:val="LLCStraipsnis"/>
    <w:rsid w:val="007C0F32"/>
    <w:rPr>
      <w:rFonts w:ascii="Times New Roman" w:hAnsi="Times New Roman"/>
      <w:b/>
      <w:color w:val="auto"/>
      <w:sz w:val="24"/>
    </w:rPr>
  </w:style>
  <w:style w:type="character" w:customStyle="1" w:styleId="LLCFixed">
    <w:name w:val="LLCFixed"/>
    <w:basedOn w:val="DefaultParagraphFont"/>
    <w:rsid w:val="007C0F32"/>
    <w:rPr>
      <w:rFonts w:ascii="Courier New" w:hAnsi="Courier New"/>
      <w:noProof w:val="0"/>
      <w:sz w:val="20"/>
      <w:lang w:val="lt-LT"/>
    </w:rPr>
  </w:style>
  <w:style w:type="paragraph" w:customStyle="1" w:styleId="LLPSignatura">
    <w:name w:val="LLPSignatura"/>
    <w:basedOn w:val="LLPNepastraip"/>
    <w:autoRedefine/>
    <w:rsid w:val="007C0F32"/>
    <w:pPr>
      <w:tabs>
        <w:tab w:val="right" w:pos="9639"/>
      </w:tabs>
    </w:pPr>
    <w:rPr>
      <w:caps/>
    </w:rPr>
  </w:style>
  <w:style w:type="paragraph" w:customStyle="1" w:styleId="LLPPriedelis">
    <w:name w:val="LLPPriedelis"/>
    <w:basedOn w:val="LLPTekstas"/>
    <w:autoRedefine/>
    <w:rsid w:val="007C0F32"/>
    <w:pPr>
      <w:ind w:firstLine="5103"/>
      <w:jc w:val="left"/>
    </w:pPr>
  </w:style>
  <w:style w:type="paragraph" w:customStyle="1" w:styleId="LLPPunktoRedakcija">
    <w:name w:val="LLPPunktoRedakcija"/>
    <w:basedOn w:val="LLPTekstas"/>
    <w:rsid w:val="007C0F32"/>
    <w:pPr>
      <w:tabs>
        <w:tab w:val="left" w:pos="992"/>
      </w:tabs>
      <w:ind w:left="992" w:hanging="425"/>
    </w:pPr>
  </w:style>
  <w:style w:type="paragraph" w:customStyle="1" w:styleId="LLPStraipsnPav">
    <w:name w:val="LLPStraipsnPav"/>
    <w:basedOn w:val="LLPStraipsnis"/>
    <w:rsid w:val="007C0F32"/>
    <w:pPr>
      <w:ind w:left="2410" w:hanging="1701"/>
    </w:pPr>
    <w:rPr>
      <w:b/>
    </w:rPr>
  </w:style>
  <w:style w:type="paragraph" w:styleId="BodyTextIndent">
    <w:name w:val="Body Text Indent"/>
    <w:basedOn w:val="Normal"/>
    <w:rsid w:val="007C0F32"/>
    <w:pPr>
      <w:numPr>
        <w:ilvl w:val="12"/>
      </w:numPr>
      <w:tabs>
        <w:tab w:val="left" w:pos="270"/>
      </w:tabs>
      <w:spacing w:line="360" w:lineRule="auto"/>
      <w:ind w:firstLine="567"/>
      <w:jc w:val="both"/>
    </w:pPr>
    <w:rPr>
      <w:rFonts w:ascii="TimesLT" w:hAnsi="TimesLT"/>
    </w:rPr>
  </w:style>
  <w:style w:type="paragraph" w:customStyle="1" w:styleId="LLPEndLine">
    <w:name w:val="LLPEndLine"/>
    <w:basedOn w:val="LLPSignatura"/>
    <w:rsid w:val="007C0F32"/>
    <w:pPr>
      <w:jc w:val="center"/>
    </w:pPr>
  </w:style>
  <w:style w:type="paragraph" w:styleId="BodyText2">
    <w:name w:val="Body Text 2"/>
    <w:basedOn w:val="Normal"/>
    <w:rsid w:val="007C0F32"/>
    <w:pPr>
      <w:tabs>
        <w:tab w:val="left" w:pos="0"/>
      </w:tabs>
      <w:spacing w:line="360" w:lineRule="auto"/>
      <w:jc w:val="both"/>
    </w:pPr>
    <w:rPr>
      <w:rFonts w:ascii="TimesLT" w:hAnsi="TimesLT"/>
    </w:rPr>
  </w:style>
  <w:style w:type="paragraph" w:customStyle="1" w:styleId="TPSkyrius">
    <w:name w:val="TPSkyrius"/>
    <w:basedOn w:val="Normal"/>
    <w:rsid w:val="007C0F32"/>
    <w:pPr>
      <w:autoSpaceDE w:val="0"/>
      <w:autoSpaceDN w:val="0"/>
      <w:adjustRightInd w:val="0"/>
    </w:pPr>
    <w:rPr>
      <w:rFonts w:cs="Courier New"/>
      <w:noProof/>
      <w:sz w:val="22"/>
    </w:rPr>
  </w:style>
  <w:style w:type="paragraph" w:customStyle="1" w:styleId="TPSkirsnis">
    <w:name w:val="TPSkirsnis"/>
    <w:basedOn w:val="Normal"/>
    <w:link w:val="TPSkirsnisChar"/>
    <w:rsid w:val="007C0F32"/>
    <w:pPr>
      <w:autoSpaceDE w:val="0"/>
      <w:autoSpaceDN w:val="0"/>
      <w:adjustRightInd w:val="0"/>
    </w:pPr>
    <w:rPr>
      <w:rFonts w:cs="Courier New"/>
      <w:noProof/>
      <w:sz w:val="22"/>
    </w:rPr>
  </w:style>
  <w:style w:type="character" w:customStyle="1" w:styleId="TPSkirsnisChar">
    <w:name w:val="TPSkirsnis Char"/>
    <w:basedOn w:val="DefaultParagraphFont"/>
    <w:link w:val="TPSkirsnis"/>
    <w:rsid w:val="007C0F32"/>
    <w:rPr>
      <w:rFonts w:cs="Courier New"/>
      <w:noProof/>
      <w:sz w:val="22"/>
      <w:lang w:val="lt-LT" w:eastAsia="en-US" w:bidi="ar-SA"/>
    </w:rPr>
  </w:style>
  <w:style w:type="paragraph" w:customStyle="1" w:styleId="TPStraipsnis">
    <w:name w:val="TPStraipsnis"/>
    <w:basedOn w:val="Normal"/>
    <w:rsid w:val="007C0F32"/>
    <w:pPr>
      <w:autoSpaceDE w:val="0"/>
      <w:autoSpaceDN w:val="0"/>
      <w:adjustRightInd w:val="0"/>
    </w:pPr>
    <w:rPr>
      <w:rFonts w:cs="Courier New"/>
      <w:noProof/>
      <w:sz w:val="22"/>
    </w:rPr>
  </w:style>
  <w:style w:type="paragraph" w:customStyle="1" w:styleId="TPDalis">
    <w:name w:val="TPDalis"/>
    <w:basedOn w:val="Normal"/>
    <w:rsid w:val="007C0F32"/>
    <w:pPr>
      <w:autoSpaceDE w:val="0"/>
      <w:autoSpaceDN w:val="0"/>
      <w:adjustRightInd w:val="0"/>
    </w:pPr>
    <w:rPr>
      <w:rFonts w:cs="Courier New"/>
      <w:noProof/>
      <w:sz w:val="22"/>
    </w:rPr>
  </w:style>
  <w:style w:type="paragraph" w:customStyle="1" w:styleId="TPPunktas">
    <w:name w:val="TPPunktas"/>
    <w:basedOn w:val="Normal"/>
    <w:rsid w:val="007C0F32"/>
    <w:pPr>
      <w:autoSpaceDE w:val="0"/>
      <w:autoSpaceDN w:val="0"/>
      <w:adjustRightInd w:val="0"/>
    </w:pPr>
    <w:rPr>
      <w:rFonts w:cs="Courier New"/>
      <w:noProof/>
      <w:sz w:val="22"/>
    </w:rPr>
  </w:style>
  <w:style w:type="paragraph" w:customStyle="1" w:styleId="TPPapunktis">
    <w:name w:val="TPPapunktis"/>
    <w:basedOn w:val="Normal"/>
    <w:rsid w:val="007C0F32"/>
    <w:pPr>
      <w:autoSpaceDE w:val="0"/>
      <w:autoSpaceDN w:val="0"/>
      <w:adjustRightInd w:val="0"/>
    </w:pPr>
    <w:rPr>
      <w:rFonts w:cs="Courier New"/>
      <w:noProof/>
    </w:rPr>
  </w:style>
  <w:style w:type="paragraph" w:customStyle="1" w:styleId="TPPriedas">
    <w:name w:val="TPPriedas"/>
    <w:basedOn w:val="Normal"/>
    <w:rsid w:val="007C0F32"/>
    <w:pPr>
      <w:autoSpaceDE w:val="0"/>
      <w:autoSpaceDN w:val="0"/>
      <w:adjustRightInd w:val="0"/>
    </w:pPr>
    <w:rPr>
      <w:rFonts w:ascii="Courier New" w:hAnsi="Courier New" w:cs="Courier New"/>
      <w:noProof/>
    </w:rPr>
  </w:style>
  <w:style w:type="character" w:customStyle="1" w:styleId="TCSkyrius">
    <w:name w:val="TCSkyrius"/>
    <w:basedOn w:val="DefaultParagraphFont"/>
    <w:rsid w:val="007C0F32"/>
    <w:rPr>
      <w:rFonts w:ascii="Times New Roman" w:hAnsi="Times New Roman"/>
      <w:sz w:val="22"/>
    </w:rPr>
  </w:style>
  <w:style w:type="character" w:customStyle="1" w:styleId="TCSkirsnis">
    <w:name w:val="TCSkirsnis"/>
    <w:basedOn w:val="DefaultParagraphFont"/>
    <w:rsid w:val="007C0F32"/>
    <w:rPr>
      <w:rFonts w:ascii="Times New Roman" w:hAnsi="Times New Roman"/>
      <w:sz w:val="22"/>
    </w:rPr>
  </w:style>
  <w:style w:type="character" w:customStyle="1" w:styleId="TCStraipsnis">
    <w:name w:val="TCStraipsnis"/>
    <w:basedOn w:val="DefaultParagraphFont"/>
    <w:rsid w:val="007C0F32"/>
    <w:rPr>
      <w:rFonts w:ascii="Times New Roman" w:hAnsi="Times New Roman"/>
      <w:sz w:val="22"/>
    </w:rPr>
  </w:style>
  <w:style w:type="character" w:customStyle="1" w:styleId="Dalis">
    <w:name w:val="Dalis"/>
    <w:basedOn w:val="DefaultParagraphFont"/>
    <w:rsid w:val="007C0F32"/>
    <w:rPr>
      <w:rFonts w:ascii="Times New Roman" w:hAnsi="Times New Roman"/>
      <w:sz w:val="22"/>
    </w:rPr>
  </w:style>
  <w:style w:type="character" w:customStyle="1" w:styleId="TCPunktas">
    <w:name w:val="TCPunktas"/>
    <w:basedOn w:val="DefaultParagraphFont"/>
    <w:rsid w:val="007C0F32"/>
    <w:rPr>
      <w:rFonts w:ascii="Verdana" w:hAnsi="Verdana"/>
      <w:sz w:val="24"/>
    </w:rPr>
  </w:style>
  <w:style w:type="character" w:customStyle="1" w:styleId="TCPapunktis">
    <w:name w:val="TCPapunktis"/>
    <w:basedOn w:val="DefaultParagraphFont"/>
    <w:rsid w:val="007C0F32"/>
    <w:rPr>
      <w:rFonts w:ascii="Verdana" w:hAnsi="Verdana"/>
      <w:sz w:val="20"/>
    </w:rPr>
  </w:style>
  <w:style w:type="character" w:customStyle="1" w:styleId="TCPriedas">
    <w:name w:val="TCPriedas"/>
    <w:basedOn w:val="DefaultParagraphFont"/>
    <w:rsid w:val="007C0F32"/>
    <w:rPr>
      <w:rFonts w:ascii="Courier New" w:hAnsi="Courier New"/>
      <w:sz w:val="20"/>
    </w:rPr>
  </w:style>
  <w:style w:type="character" w:customStyle="1" w:styleId="TCDalis">
    <w:name w:val="TCDalis"/>
    <w:basedOn w:val="DefaultParagraphFont"/>
    <w:rsid w:val="007C0F32"/>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Target="../customXml/item1.xml" Type="http://schemas.openxmlformats.org/officeDocument/2006/relationships/customXml" Id="rId0"/><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Parts xmlns="http://lrs.lt/TAIS/DocParts">
  <Part DocPartId="1ce27ed931b64c158fd2a99fe671f082" PartId="8167e4a4a4af4c80a9e2b1fdf288be7d" Type="pagrindine">
    <Part DocPartId="d85b84be18a8457eb0706c06194bea21" PartId="1e28c2d59eee48d999c87984b29ab096" Type="preambule"/>
    <Part DocPartId="cc63b00c567d442999359774ab4472a3" PartId="a9ead9d9b42f4e98a1407b99beed45cd" Type="punktas" Nr="1" Abbr="1 p.">
      <Part DocPartId="15cc4ea0a74c47bdaaf4ec2ca2cd72cf" PartId="408f01be03394b2c91f7bbfcf8fea366" Type="punktas" Nr="1.1" Abbr="1.1 p."/>
      <Part DocPartId="ad06dffce19c44708e92d75da1af1f54" PartId="0b9119f4cf7e493d9dba159100367cfc" Type="punktas" Nr="1.2" Abbr="1.2 p."/>
      <Part DocPartId="9ade2ddcacfb46819c5296801a6c9436" PartId="3f58e5ec2939457eb86e9ee22d7c3fc5" Type="punktas" Nr="1.3" Abbr="1.3 p.">
        <Part DocPartId="a1a20b2869614edc8910a72cbb564033" PartId="eb6f3152c2604409b981afda0a3b2a08" Type="punktas" Nr="1.3.1" Abbr="1.3.1 p.">
          <Part DocPartId="58e86fedb692495183d1c378d35a6b95" PartId="be9fba633e6241c3b2d030d94b54fc1e" Type="punktas" Nr="1.3.1.1" Abbr="1.3.1.1 p."/>
          <Part DocPartId="7d740ff391f146c9b1dd1635e48d294e" PartId="0423243122494fecb9b6456289730521" Type="punktas" Nr="1.3.1.2" Abbr="1.3.1.2 p."/>
          <Part DocPartId="de2e7c386df245ba87779ae1d4f1df87" PartId="339363a19620472d9cb8453163dc7fa4" Type="punktas" Nr="1.3.1.3" Abbr="1.3.1.3 p."/>
          <Part DocPartId="28a53ad66d0d417db4ae7bac71f7f0e3" PartId="2e2a589dd74a4c95997a6cc85d6d7d39" Type="punktas" Nr="1.3.1.4" Abbr="1.3.1.4 p."/>
          <Part DocPartId="4681c6d8261d43288c116e31caca8cbc" PartId="b2e84e6561704028bcaa6ae5ded2b344" Type="punktas" Nr="1.3.1.5" Abbr="1.3.1.5 p."/>
        </Part>
        <Part DocPartId="964d2f10b7a24b60aa13ee6fbf57489c" PartId="c97c4fb5161843d68bd59fe279268e89" Type="punktas" Nr="1.3.2" Abbr="1.3.2 p.">
          <Part DocPartId="2c7523b084454152a2e1ead5f8867be9" PartId="04c64de4b7554d0cb98e7e45ad802604" Type="punktas" Nr="1.3.2.1" Abbr="1.3.2.1 p."/>
          <Part DocPartId="75ff6adc3bf740e4b371ada221c185b2" PartId="01674b99d98a44c3b3df7dc4972127ba" Type="punktas" Nr="1.3.2.2" Abbr="1.3.2.2 p."/>
        </Part>
      </Part>
      <Part DocPartId="edbed001cbef4d84918931367fea4479" PartId="6fc9de5996d74ff9af46c5f43fa85a71" Type="punktas" Nr="1.4" Abbr="1.4 p."/>
    </Part>
    <Part DocPartId="46adadbcf6e3498db587f8ce0cea2387" PartId="864764c23ebe4742af50bebb6ba6b97c" Type="punktas" Nr="2" Abbr="2 p.">
      <Part DocPartId="c2b077eac5bf4f9f89854fb5ff731aee" PartId="7e368d23a0d1454a84e4982e3519d283" Type="punktas" Nr="2.1" Abbr="2.1 p."/>
      <Part DocPartId="054b75d812894c6a891c69d07ef69084" PartId="9da07414ae62494fa792bce8825841a1" Type="punktas" Nr="2.2" Abbr="2.2 p."/>
      <Part DocPartId="9bbcb12bcb594c2e8d34669f08980a53" PartId="12cbe42be93c42f38a71f3ec91633b2d" Type="punktas" Nr="2.3" Abbr="2.3 p."/>
      <Part DocPartId="a90e95eece1f4f57b005c3a0fd93834d" PartId="698e618e591e4dd1bf6426e3f785f503" Type="punktas" Nr="2.4" Abbr="2.4 p."/>
      <Part DocPartId="7fb16e5b5f634f7bb066e4f36b7fad64" PartId="8094020ac7cd4f5c9d1ac82504fc17c5" Type="punktas" Nr="2.5" Abbr="2.5 p."/>
    </Part>
    <Part DocPartId="835c1ed1a46648969a04a46153106a66" PartId="6e0ae8dfcd9a4009817c5612b7565bf9" Type="punktas" Nr="3" Abbr="3 p.">
      <Part DocPartId="9ee2071e711848c69845ea5549f643d2" PartId="5e3777eb5e90483a8a2b05204878ce10" Type="punktas" Nr="3.1" Abbr="3.1 p.">
        <Part DocPartId="31ae9b5d3d9246789781a6750168d35a" PartId="986003f2b12542618e7fa0690de9a8f4" Type="punktas" Nr="3.1.1" Abbr="3.1.1 p."/>
        <Part DocPartId="857262a8b96d479881bc530c2defd443" PartId="d82e58a213f548439e852ea1a108d561" Type="punktas" Nr="3.1.2" Abbr="3.1.2 p."/>
      </Part>
      <Part DocPartId="b81459649eec4a00bd5a020bfe446487" PartId="bd701561d5274ea4b460dab9b9108b62" Type="punktas" Nr="3.2" Abbr="3.2 p."/>
    </Part>
    <Part DocPartId="fb642f6c53fd4e278919928fa2900bac" PartId="3e0826038ca84a70a5e4399035cc09d7" Type="punktas" Nr="4" Abbr="4 p."/>
    <Part DocPartId="a60f74edea9f43d9972aae4542480681" PartId="59ce55fbc2de4f59b59f7e67587f7bed" Type="punktas" Nr="5" Abbr="5 p."/>
  </Part>
</Parts>
</file>

<file path=customXml\itemProps1.xml><?xml version="1.0" encoding="utf-8"?>
<ds:datastoreItem xmlns:ds="http://schemas.openxmlformats.org/officeDocument/2006/customXml" ds:itemID="{8937D65E-19D6-4992-9FFC-BF87BEC17A8E}">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6368</Words>
  <Characters>3630</Characters>
  <Application>Microsoft Office Word</Application>
  <DocSecurity>0</DocSecurity>
  <Lines>30</Lines>
  <Paragraphs>19</Paragraphs>
  <ScaleCrop>false</ScaleCrop>
  <Company>Teisines informacijos centras</Company>
  <LinksUpToDate>false</LinksUpToDate>
  <CharactersWithSpaces>9979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RYŠIŲ REGULIAVIMO TARNYBOS DIREKTORIAUS</dc:title>
  <dc:subject/>
  <dc:creator>Sandra</dc:creator>
  <cp:keywords/>
  <dc:description/>
  <cp:lastModifiedBy>Tadeuš Buivid</cp:lastModifiedBy>
  <cp:revision>2</cp:revision>
  <dcterms:created xsi:type="dcterms:W3CDTF">2014-02-22T07:25:00Z</dcterms:created>
  <dcterms:modified xsi:type="dcterms:W3CDTF">2014-02-22T07:25:00Z</dcterms:modified>
</cp:coreProperties>
</file>