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a2b4fdf14940429eba21e65ca3a3cbc8"/>
        <w:id w:val="1701183"/>
        <w:lock w:val="sdtLocked"/>
      </w:sdtPr>
      <w:sdtEndPr/>
      <w:sdtContent>
        <w:p w:rsidR="0088560F" w:rsidRDefault="004B715C">
          <w:pPr>
            <w:jc w:val="center"/>
            <w:rPr>
              <w:b/>
              <w:noProof/>
              <w:lang w:eastAsia="lt-LT"/>
            </w:rPr>
          </w:pPr>
          <w:r>
            <w:rPr>
              <w:b/>
              <w:noProof/>
              <w:lang w:val="en-US"/>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7728;visibility:hidden;mso-position-horizontal-relative:text;mso-position-vertical-relative:text" stroked="f">
                <v:imagedata r:id="rId9" o:title=""/>
              </v:shape>
              <w:control r:id="rId10" w:name="Control 2" w:shapeid="_x0000_s1026"/>
            </w:pict>
          </w:r>
          <w:r w:rsidR="00ED5D8F">
            <w:rPr>
              <w:b/>
              <w:noProof/>
              <w:lang w:eastAsia="lt-LT"/>
            </w:rPr>
            <w:t>LIETUVOS RESPUBLIKOS RYŠIŲ REGULIAVIMO TARNYBOS DIREKTORIUS</w:t>
          </w:r>
        </w:p>
        <w:p w:rsidR="0088560F" w:rsidRDefault="0088560F">
          <w:pPr>
            <w:jc w:val="center"/>
          </w:pPr>
        </w:p>
        <w:p w:rsidR="0088560F" w:rsidRDefault="00ED5D8F">
          <w:pPr>
            <w:jc w:val="center"/>
            <w:rPr>
              <w:b/>
            </w:rPr>
          </w:pPr>
          <w:r>
            <w:rPr>
              <w:b/>
            </w:rPr>
            <w:t>Į S A K Y M A S</w:t>
          </w:r>
        </w:p>
        <w:p w:rsidR="0088560F" w:rsidRDefault="00ED5D8F">
          <w:pPr>
            <w:jc w:val="center"/>
            <w:rPr>
              <w:b/>
            </w:rPr>
          </w:pPr>
          <w:r>
            <w:rPr>
              <w:b/>
            </w:rPr>
            <w:t>DĖL VIEŠŲJŲ TARPTAUTINIO TELEFONO RYŠIO PASLAUGŲ, TEIKIAMŲ VARTOTOJAMS FIKSUOTOJE VIETOJE, RINKOS APIBRĖŽIMO</w:t>
          </w:r>
        </w:p>
        <w:p w:rsidR="0088560F" w:rsidRDefault="0088560F">
          <w:pPr>
            <w:jc w:val="center"/>
          </w:pPr>
        </w:p>
        <w:p w:rsidR="0088560F" w:rsidRDefault="00ED5D8F">
          <w:pPr>
            <w:jc w:val="center"/>
          </w:pPr>
          <w:bookmarkStart w:id="0" w:name="_GoBack"/>
          <w:r>
            <w:t>2006 m. rugsėjo 18 d. Nr. 1V-991</w:t>
          </w:r>
        </w:p>
        <w:bookmarkEnd w:id="0"/>
        <w:p w:rsidR="0088560F" w:rsidRDefault="00ED5D8F">
          <w:pPr>
            <w:jc w:val="center"/>
          </w:pPr>
          <w:r>
            <w:t>Vilnius</w:t>
          </w:r>
        </w:p>
        <w:p w:rsidR="0088560F" w:rsidRDefault="0088560F">
          <w:pPr>
            <w:ind w:firstLine="709"/>
          </w:pPr>
        </w:p>
        <w:bookmarkStart w:id="1" w:name="Xb31560b6dc8d4067980de401b1ca6f21" w:displacedByCustomXml="next"/>
        <w:sdt>
          <w:sdtPr>
            <w:alias w:val=" preambulė"/>
            <w:tag w:val="part_b31560b6dc8d4067980de401b1ca6f21"/>
            <w:id w:val="460386391"/>
            <w:lock w:val="sdtLocked"/>
          </w:sdtPr>
          <w:sdtEndPr/>
          <w:sdtContent>
            <w:p w:rsidR="0088560F" w:rsidRDefault="00ED5D8F">
              <w:pPr>
                <w:widowControl w:val="0"/>
                <w:shd w:val="clear" w:color="auto" w:fill="FFFFFF"/>
                <w:ind w:firstLine="709"/>
                <w:jc w:val="both"/>
              </w:pPr>
              <w:r>
                <w:t xml:space="preserve">Vadovaudamasis Lietuvos Respublikos elektroninių ryšių įstatymo (Žin., 2004, Nr. 69-2382) 15 straipsnio 1 dalimi, 16 straipsnio 1, 3, 9 ir 15 dalimis, 17 straipsnio 1 dalies 6 punktu ir Rinkos tyrimo taisyklių, patvirtintų Lietuvos Respublikos ryšių reguliavimo tarnybos direktoriaus 2004 m. rugsėjo 17 d. įsakymu Nr. 1V-297 „Dėl Rinkos tyrimo taisyklių patvirtinimo“ (Žin., 2004, Nr. 141-5174), 24 ir 25 punktais, atsižvelgdamas į 2003 m. vasario 11 d. Europos Komisijos rekomendaciją dėl atitinkamų produktų ir paslaugų rinkų elektroninių ryšių srityje, reikalaujančių </w:t>
              </w:r>
              <w:r>
                <w:rPr>
                  <w:i/>
                  <w:iCs/>
                </w:rPr>
                <w:t xml:space="preserve">ex-ante </w:t>
              </w:r>
              <w:r>
                <w:t>reguliavimo pagal Europos Parlamento ir Tarybos direktyvą 2002/21/EB dėl elektroninių ryšių tinklų ir paslaugų bendrosios reguliavimo sistemos, bei išnagrinėjęs Viešųjų tarptautinio telefono ryšio paslaugų, teikiamų vartotojams fiksuotoje vietoje rinkos tyrimo metu juridinių asmenų pateiktus atsakymus į Lietuvos Respublikos ryšių reguliavimo tarnybos 2006 m. sausio 20 d. raštu Nr. (25.18)-1B-247 pateiktą Mažmeninių viešųjų telefono ryšio paslaugų, teikiamų fiksuotoje vietoje, rinkų tyrimų anketą bei atsižvelgdamas į Viešųjų tarptautinio telefono ryšio paslaugų, teikiamų vartotojams ir paslaugų gavėjams, išskyrus vartotojus, fiksuotoje vietoje rinkų tyrimų ataskaitą (toliau vadinama – Ataskaita):</w:t>
              </w:r>
            </w:p>
          </w:sdtContent>
        </w:sdt>
        <w:bookmarkEnd w:id="1" w:displacedByCustomXml="next"/>
        <w:bookmarkStart w:id="2" w:name="X34d1701760a542f8afe98b380a824280" w:displacedByCustomXml="next"/>
        <w:sdt>
          <w:sdtPr>
            <w:alias w:val="1 p."/>
            <w:tag w:val="part_34d1701760a542f8afe98b380a824280"/>
            <w:id w:val="-1189611049"/>
            <w:lock w:val="sdtLocked"/>
          </w:sdtPr>
          <w:sdtEndPr/>
          <w:sdtContent>
            <w:p w:rsidR="0088560F" w:rsidRDefault="00ED5D8F">
              <w:pPr>
                <w:widowControl w:val="0"/>
                <w:shd w:val="clear" w:color="auto" w:fill="FFFFFF"/>
                <w:ind w:firstLine="709"/>
                <w:jc w:val="both"/>
              </w:pPr>
              <w:r>
                <w:t xml:space="preserve">1. </w:t>
              </w:r>
              <w:r>
                <w:rPr>
                  <w:spacing w:val="60"/>
                </w:rPr>
                <w:t>Nustačia</w:t>
              </w:r>
              <w:r>
                <w:t>u, kad:</w:t>
              </w:r>
            </w:p>
            <w:bookmarkStart w:id="3" w:name="X86aecdd4d22f4531832af33a3f93152e" w:displacedByCustomXml="next"/>
            <w:sdt>
              <w:sdtPr>
                <w:alias w:val="1.1 p."/>
                <w:tag w:val="part_86aecdd4d22f4531832af33a3f93152e"/>
                <w:id w:val="-1428646569"/>
                <w:lock w:val="sdtLocked"/>
              </w:sdtPr>
              <w:sdtEndPr/>
              <w:sdtContent>
                <w:p w:rsidR="0088560F" w:rsidRDefault="00ED5D8F">
                  <w:pPr>
                    <w:widowControl w:val="0"/>
                    <w:shd w:val="clear" w:color="auto" w:fill="FFFFFF"/>
                    <w:ind w:firstLine="709"/>
                    <w:jc w:val="both"/>
                  </w:pPr>
                  <w:r>
                    <w:t>1.1. Viešųjų tarptautinio telefono ryšio paslaugų, teikiamų vartotojams fiksuotoje vietoje (toliau vadinama – Tarptautiniai skambučiai Vartotojams) rinkos tyrimo metu buvo apklaustas 41 juridinis asmuo.</w:t>
                  </w:r>
                </w:p>
              </w:sdtContent>
            </w:sdt>
            <w:bookmarkEnd w:id="3" w:displacedByCustomXml="next"/>
            <w:bookmarkStart w:id="4" w:name="X73956d5db0194bf1804907f646b8ea70" w:displacedByCustomXml="next"/>
            <w:sdt>
              <w:sdtPr>
                <w:alias w:val="1.2 p."/>
                <w:tag w:val="part_73956d5db0194bf1804907f646b8ea70"/>
                <w:id w:val="-1830364148"/>
                <w:lock w:val="sdtLocked"/>
              </w:sdtPr>
              <w:sdtEndPr/>
              <w:sdtContent>
                <w:p w:rsidR="0088560F" w:rsidRDefault="00ED5D8F">
                  <w:pPr>
                    <w:widowControl w:val="0"/>
                    <w:shd w:val="clear" w:color="auto" w:fill="FFFFFF"/>
                    <w:ind w:firstLine="709"/>
                    <w:jc w:val="both"/>
                  </w:pPr>
                  <w:r>
                    <w:t>1.2. Esminiai apklaustų juridinių asmenų paaiškinimai, turintys įtakos Tarptautinių skambučių Vartotojams rinkos tyrimui, pateikti ir įvertinti Ataskaitos 2 ir 4 skyriuose.</w:t>
                  </w:r>
                </w:p>
              </w:sdtContent>
            </w:sdt>
            <w:bookmarkEnd w:id="4" w:displacedByCustomXml="next"/>
            <w:bookmarkStart w:id="5" w:name="X3cff875117d148fb933a56824f6486c1" w:displacedByCustomXml="next"/>
            <w:sdt>
              <w:sdtPr>
                <w:alias w:val="1.3 p."/>
                <w:tag w:val="part_3cff875117d148fb933a56824f6486c1"/>
                <w:id w:val="686946138"/>
                <w:lock w:val="sdtLocked"/>
              </w:sdtPr>
              <w:sdtEndPr/>
              <w:sdtContent>
                <w:p w:rsidR="0088560F" w:rsidRDefault="00ED5D8F">
                  <w:pPr>
                    <w:widowControl w:val="0"/>
                    <w:shd w:val="clear" w:color="auto" w:fill="FFFFFF"/>
                    <w:ind w:firstLine="709"/>
                    <w:jc w:val="both"/>
                  </w:pPr>
                  <w:r>
                    <w:t>1.3. Kaip nurodyta Ataskaitos 2 skyriuje, Tarptautinių skambučių Vartotojams rinka apibrėžiama kaip visą Lietuvos Respublikos teritoriją aprėpianti (nacionalinė) rinka, kurią sudaro fiksuotoje vietoje viešuoju telefono ryšio tinklu teikiami Tarptautiniai skambučiai Vartotojams nepriklausomai nuo šių skambučių teikimo būdo.</w:t>
                  </w:r>
                </w:p>
              </w:sdtContent>
            </w:sdt>
            <w:bookmarkEnd w:id="5" w:displacedByCustomXml="next"/>
            <w:bookmarkStart w:id="6" w:name="Xa07aa564c1d94e2095426171a76776b6" w:displacedByCustomXml="next"/>
            <w:sdt>
              <w:sdtPr>
                <w:alias w:val="1.4 p."/>
                <w:tag w:val="part_a07aa564c1d94e2095426171a76776b6"/>
                <w:id w:val="440574220"/>
                <w:lock w:val="sdtLocked"/>
              </w:sdtPr>
              <w:sdtEndPr/>
              <w:sdtContent>
                <w:p w:rsidR="0088560F" w:rsidRDefault="00ED5D8F">
                  <w:pPr>
                    <w:widowControl w:val="0"/>
                    <w:shd w:val="clear" w:color="auto" w:fill="FFFFFF"/>
                    <w:ind w:firstLine="709"/>
                    <w:jc w:val="both"/>
                  </w:pPr>
                  <w:r>
                    <w:t>1.4. Kaip nurodyta Ataskaitos 4 skyriuje, tiriamojo laikotarpio pabaigoje (2005 m. gruodžio 31 d.):</w:t>
                  </w:r>
                </w:p>
                <w:bookmarkStart w:id="7" w:name="Xc1795fbabedb49d5b77e763311e0b88f" w:displacedByCustomXml="next"/>
                <w:sdt>
                  <w:sdtPr>
                    <w:alias w:val="1.4.1 p."/>
                    <w:tag w:val="part_c1795fbabedb49d5b77e763311e0b88f"/>
                    <w:id w:val="-1260056211"/>
                    <w:lock w:val="sdtLocked"/>
                  </w:sdtPr>
                  <w:sdtEndPr/>
                  <w:sdtContent>
                    <w:p w:rsidR="0088560F" w:rsidRDefault="00ED5D8F">
                      <w:pPr>
                        <w:widowControl w:val="0"/>
                        <w:shd w:val="clear" w:color="auto" w:fill="FFFFFF"/>
                        <w:ind w:firstLine="709"/>
                        <w:jc w:val="both"/>
                      </w:pPr>
                      <w:r>
                        <w:t>1.4.1. TEO LT, AB (iki 2006 m. gegužės 5 d. bendrovės pavadinimas buvo AB „Lietuvos telekomas“) turėjo 73,62 proc. Tarptautinių skambučių Vartotojams rinkos dalį.</w:t>
                      </w:r>
                    </w:p>
                  </w:sdtContent>
                </w:sdt>
                <w:bookmarkEnd w:id="7" w:displacedByCustomXml="next"/>
                <w:bookmarkStart w:id="8" w:name="X4f187f3790ec4641bcf9e42bb8ceca08" w:displacedByCustomXml="next"/>
                <w:sdt>
                  <w:sdtPr>
                    <w:alias w:val="1.4.2 p."/>
                    <w:tag w:val="part_4f187f3790ec4641bcf9e42bb8ceca08"/>
                    <w:id w:val="-603881245"/>
                    <w:lock w:val="sdtLocked"/>
                  </w:sdtPr>
                  <w:sdtEndPr/>
                  <w:sdtContent>
                    <w:p w:rsidR="0088560F" w:rsidRDefault="00ED5D8F">
                      <w:pPr>
                        <w:widowControl w:val="0"/>
                        <w:shd w:val="clear" w:color="auto" w:fill="FFFFFF"/>
                        <w:ind w:firstLine="709"/>
                        <w:jc w:val="both"/>
                      </w:pPr>
                      <w:r>
                        <w:t>1.4.2. UAB „</w:t>
                      </w:r>
                      <w:proofErr w:type="spellStart"/>
                      <w:r>
                        <w:t>Linkotelus</w:t>
                      </w:r>
                      <w:proofErr w:type="spellEnd"/>
                      <w:r>
                        <w:t>“, UAB „Linktelis“, UAB „Tele2 fiksuotas ryšys“, UAB „Naujasis telefonas“, UAB „</w:t>
                      </w:r>
                      <w:proofErr w:type="spellStart"/>
                      <w:r>
                        <w:t>Gigatelis</w:t>
                      </w:r>
                      <w:proofErr w:type="spellEnd"/>
                      <w:r>
                        <w:t>“, UAB „</w:t>
                      </w:r>
                      <w:proofErr w:type="spellStart"/>
                      <w:r>
                        <w:t>Telegrupė</w:t>
                      </w:r>
                      <w:proofErr w:type="spellEnd"/>
                      <w:r>
                        <w:t>“, UAB „</w:t>
                      </w:r>
                      <w:proofErr w:type="spellStart"/>
                      <w:r>
                        <w:t>Cubio</w:t>
                      </w:r>
                      <w:proofErr w:type="spellEnd"/>
                      <w:r>
                        <w:t>“, UAB „Eurofonas“, UAB „Res vera“, AB „Lietuvos geležinkeliai“, UAB „Penkių kontinentų komunikacijų centras“, UAB „</w:t>
                      </w:r>
                      <w:proofErr w:type="spellStart"/>
                      <w:r>
                        <w:t>Balticum</w:t>
                      </w:r>
                      <w:proofErr w:type="spellEnd"/>
                      <w:r>
                        <w:t xml:space="preserve"> TV“, UAB „</w:t>
                      </w:r>
                      <w:proofErr w:type="spellStart"/>
                      <w:r>
                        <w:t>Remo</w:t>
                      </w:r>
                      <w:proofErr w:type="spellEnd"/>
                      <w:r>
                        <w:t xml:space="preserve"> televizija“, UAB „</w:t>
                      </w:r>
                      <w:proofErr w:type="spellStart"/>
                      <w:r>
                        <w:t>Socius</w:t>
                      </w:r>
                      <w:proofErr w:type="spellEnd"/>
                      <w:r>
                        <w:t xml:space="preserve"> </w:t>
                      </w:r>
                      <w:proofErr w:type="spellStart"/>
                      <w:r>
                        <w:t>Tuus</w:t>
                      </w:r>
                      <w:proofErr w:type="spellEnd"/>
                      <w:r>
                        <w:t>“, UAB „</w:t>
                      </w:r>
                      <w:proofErr w:type="spellStart"/>
                      <w:r>
                        <w:t>Telerena</w:t>
                      </w:r>
                      <w:proofErr w:type="spellEnd"/>
                      <w:r>
                        <w:t>“, UAB „</w:t>
                      </w:r>
                      <w:proofErr w:type="spellStart"/>
                      <w:r>
                        <w:t>Teletinklas</w:t>
                      </w:r>
                      <w:proofErr w:type="spellEnd"/>
                      <w:r>
                        <w:t>“, UAB „Alytaus kabelinė televizija“, UAB „Nacionalinis telekomunikacijų tinklas“, UAB „Verslo sprendimai“, UAB „</w:t>
                      </w:r>
                      <w:proofErr w:type="spellStart"/>
                      <w:r>
                        <w:t>Alderada</w:t>
                      </w:r>
                      <w:proofErr w:type="spellEnd"/>
                      <w:r>
                        <w:t xml:space="preserve">“ ir A. </w:t>
                      </w:r>
                      <w:proofErr w:type="spellStart"/>
                      <w:r>
                        <w:t>Judicko</w:t>
                      </w:r>
                      <w:proofErr w:type="spellEnd"/>
                      <w:r>
                        <w:t xml:space="preserve"> individuali įmonė kartu paėmus turėjo 26,38 proc. Tarptautinių skambučių Vartotojams rinkos dalį.</w:t>
                      </w:r>
                    </w:p>
                  </w:sdtContent>
                </w:sdt>
                <w:bookmarkEnd w:id="8" w:displacedByCustomXml="next"/>
                <w:bookmarkStart w:id="9" w:name="X604ae0b0a44f458a90b14b5a8e63f871" w:displacedByCustomXml="next"/>
                <w:sdt>
                  <w:sdtPr>
                    <w:alias w:val="1.4.3 p."/>
                    <w:tag w:val="part_604ae0b0a44f458a90b14b5a8e63f871"/>
                    <w:id w:val="-269398305"/>
                    <w:lock w:val="sdtLocked"/>
                  </w:sdtPr>
                  <w:sdtEndPr/>
                  <w:sdtContent>
                    <w:p w:rsidR="0088560F" w:rsidRDefault="00ED5D8F">
                      <w:pPr>
                        <w:widowControl w:val="0"/>
                        <w:shd w:val="clear" w:color="auto" w:fill="FFFFFF"/>
                        <w:ind w:firstLine="709"/>
                        <w:jc w:val="both"/>
                      </w:pPr>
                      <w:r>
                        <w:t>1.4.3. UAB „</w:t>
                      </w:r>
                      <w:proofErr w:type="spellStart"/>
                      <w:r>
                        <w:t>Mediafon</w:t>
                      </w:r>
                      <w:proofErr w:type="spellEnd"/>
                      <w:r>
                        <w:t>“, UAB „Interneto pasaulis“, UAB „</w:t>
                      </w:r>
                      <w:proofErr w:type="spellStart"/>
                      <w:r>
                        <w:t>Eurocom</w:t>
                      </w:r>
                      <w:proofErr w:type="spellEnd"/>
                      <w:r>
                        <w:t>“, UAB „Solocomas“ (iki 2003 m. rugsėjo 12 d. bendrovės pavadinimas buvo UAB „</w:t>
                      </w:r>
                      <w:proofErr w:type="spellStart"/>
                      <w:r>
                        <w:t>Amitelis</w:t>
                      </w:r>
                      <w:proofErr w:type="spellEnd"/>
                      <w:r>
                        <w:t>“), AB Lietuvos radijo ir televizijos centras, UAB „</w:t>
                      </w:r>
                      <w:proofErr w:type="spellStart"/>
                      <w:r>
                        <w:t>Telekomunikaciju</w:t>
                      </w:r>
                      <w:proofErr w:type="spellEnd"/>
                      <w:r>
                        <w:t xml:space="preserve"> </w:t>
                      </w:r>
                      <w:proofErr w:type="spellStart"/>
                      <w:r>
                        <w:t>grupa</w:t>
                      </w:r>
                      <w:proofErr w:type="spellEnd"/>
                      <w:r>
                        <w:t>“, UAB „Omnitel“, VĮ „Infostruktūra“, UAB „Bitė Lietuva“, AB „</w:t>
                      </w:r>
                      <w:proofErr w:type="spellStart"/>
                      <w:r>
                        <w:t>Ogmios</w:t>
                      </w:r>
                      <w:proofErr w:type="spellEnd"/>
                      <w:r>
                        <w:t xml:space="preserve"> centras“, UAB „</w:t>
                      </w:r>
                      <w:proofErr w:type="spellStart"/>
                      <w:r>
                        <w:t>Neltė</w:t>
                      </w:r>
                      <w:proofErr w:type="spellEnd"/>
                      <w:r>
                        <w:t>“, UAB „Trys penketai“, UAB „</w:t>
                      </w:r>
                      <w:proofErr w:type="spellStart"/>
                      <w:r>
                        <w:t>Transcom</w:t>
                      </w:r>
                      <w:proofErr w:type="spellEnd"/>
                      <w:r>
                        <w:t xml:space="preserve"> </w:t>
                      </w:r>
                      <w:proofErr w:type="spellStart"/>
                      <w:r>
                        <w:t>WorldWide</w:t>
                      </w:r>
                      <w:proofErr w:type="spellEnd"/>
                      <w:r>
                        <w:t xml:space="preserve"> Vilnius“, UAB „CSC </w:t>
                      </w:r>
                      <w:proofErr w:type="spellStart"/>
                      <w:r>
                        <w:t>Telecom</w:t>
                      </w:r>
                      <w:proofErr w:type="spellEnd"/>
                      <w:r>
                        <w:t>“, UAB „</w:t>
                      </w:r>
                      <w:proofErr w:type="spellStart"/>
                      <w:r>
                        <w:t>Baltnetos</w:t>
                      </w:r>
                      <w:proofErr w:type="spellEnd"/>
                      <w:r>
                        <w:t xml:space="preserve"> komunikacijos“, UAB „FCL“, UAB „CHARTWELL NETWORK“, UAB „</w:t>
                      </w:r>
                      <w:proofErr w:type="spellStart"/>
                      <w:r>
                        <w:t>Teleinformacijos</w:t>
                      </w:r>
                      <w:proofErr w:type="spellEnd"/>
                      <w:r>
                        <w:t xml:space="preserve"> paslaugos“, UAB „</w:t>
                      </w:r>
                      <w:proofErr w:type="spellStart"/>
                      <w:r>
                        <w:t>Linx</w:t>
                      </w:r>
                      <w:proofErr w:type="spellEnd"/>
                      <w:r>
                        <w:t xml:space="preserve"> </w:t>
                      </w:r>
                      <w:proofErr w:type="spellStart"/>
                      <w:r>
                        <w:lastRenderedPageBreak/>
                        <w:t>Telecommunications</w:t>
                      </w:r>
                      <w:proofErr w:type="spellEnd"/>
                      <w:r>
                        <w:t>“ Tarptautinių skambučių Vartotojams paslaugų neteikė.</w:t>
                      </w:r>
                    </w:p>
                  </w:sdtContent>
                </w:sdt>
              </w:sdtContent>
            </w:sdt>
          </w:sdtContent>
        </w:sdt>
        <w:bookmarkEnd w:id="2" w:displacedByCustomXml="next"/>
        <w:bookmarkEnd w:id="6" w:displacedByCustomXml="next"/>
        <w:bookmarkEnd w:id="9" w:displacedByCustomXml="next"/>
        <w:bookmarkStart w:id="10" w:name="X30c622d3054b4585b05895f0bdb99f9d" w:displacedByCustomXml="next"/>
        <w:sdt>
          <w:sdtPr>
            <w:alias w:val="2 p."/>
            <w:tag w:val="part_30c622d3054b4585b05895f0bdb99f9d"/>
            <w:id w:val="700909815"/>
            <w:lock w:val="sdtLocked"/>
          </w:sdtPr>
          <w:sdtEndPr/>
          <w:sdtContent>
            <w:p w:rsidR="0088560F" w:rsidRDefault="00ED5D8F">
              <w:pPr>
                <w:widowControl w:val="0"/>
                <w:shd w:val="clear" w:color="auto" w:fill="FFFFFF"/>
                <w:ind w:firstLine="709"/>
                <w:jc w:val="both"/>
              </w:pPr>
              <w:r>
                <w:t xml:space="preserve">2. </w:t>
              </w:r>
              <w:r>
                <w:rPr>
                  <w:spacing w:val="60"/>
                </w:rPr>
                <w:t>Konstatuoj</w:t>
              </w:r>
              <w:r>
                <w:t>u, kad Tarptautinių skambučių Vartotojams rinka apibrėžta Lietuvos Respublikos ryšių reguliavimo tarnybos direktoriaus 2006 m. rugsėjo 18 d. įsakymu Nr. 1V-992 „Dėl ūkio subjekto TEO LT, AB, turinčio didelę įtaką Viešųjų tarptautinio telefono ryšio paslaugų, teikiamų vartotojams fiksuotoje vietoje, rinkoje“. Ūkio subjektą TEO LT, AB sudaro TEO LT, AB kartu su susijusiais juridiniais asmenimis, t. y. UAB „</w:t>
              </w:r>
              <w:proofErr w:type="spellStart"/>
              <w:r>
                <w:t>Baltic</w:t>
              </w:r>
              <w:proofErr w:type="spellEnd"/>
              <w:r>
                <w:t xml:space="preserve"> Data </w:t>
              </w:r>
              <w:proofErr w:type="spellStart"/>
              <w:r>
                <w:t>Center</w:t>
              </w:r>
              <w:proofErr w:type="spellEnd"/>
              <w:r>
                <w:t>“, UAB „Kompetencijos ugdymo centras“ (iki 2006 m. birželio 22 d. bendrovės pavadinimas buvo UAB „Lietuvos telekomo verslo sprendimai“), UAB „</w:t>
              </w:r>
              <w:proofErr w:type="spellStart"/>
              <w:r>
                <w:t>Lintel</w:t>
              </w:r>
              <w:proofErr w:type="spellEnd"/>
              <w:r>
                <w:t>“, UAB „Omnitel“, UAB „</w:t>
              </w:r>
              <w:proofErr w:type="spellStart"/>
              <w:r>
                <w:t>Voicecom</w:t>
              </w:r>
              <w:proofErr w:type="spellEnd"/>
              <w:r>
                <w:t xml:space="preserve">“ ir VšĮ „TEO </w:t>
              </w:r>
              <w:proofErr w:type="spellStart"/>
              <w:r>
                <w:t>sportas“(iki</w:t>
              </w:r>
              <w:proofErr w:type="spellEnd"/>
              <w:r>
                <w:t xml:space="preserve"> 2006 m. birželio 22 d. bendrovės pavadinimas buvo VšĮ „Lietuvos telekomo“ sporto klubas).</w:t>
              </w:r>
            </w:p>
          </w:sdtContent>
        </w:sdt>
        <w:bookmarkEnd w:id="10" w:displacedByCustomXml="next"/>
        <w:bookmarkStart w:id="11" w:name="Xcf1bacf9fca94c8cbfc35470c68ecebb" w:displacedByCustomXml="next"/>
        <w:sdt>
          <w:sdtPr>
            <w:alias w:val="3 p."/>
            <w:tag w:val="part_cf1bacf9fca94c8cbfc35470c68ecebb"/>
            <w:id w:val="667063678"/>
            <w:lock w:val="sdtLocked"/>
          </w:sdtPr>
          <w:sdtEndPr/>
          <w:sdtContent>
            <w:p w:rsidR="0088560F" w:rsidRDefault="00ED5D8F">
              <w:pPr>
                <w:widowControl w:val="0"/>
                <w:shd w:val="clear" w:color="auto" w:fill="FFFFFF"/>
                <w:ind w:firstLine="709"/>
                <w:jc w:val="both"/>
              </w:pPr>
              <w:r>
                <w:t>3. Nustatau, kad Tarptautinių skambučių Vartotojams rinka UAB „</w:t>
              </w:r>
              <w:proofErr w:type="spellStart"/>
              <w:r>
                <w:t>Mediafon</w:t>
              </w:r>
              <w:proofErr w:type="spellEnd"/>
              <w:r>
                <w:t>“, UAB „Interneto pasaulis“, UAB „</w:t>
              </w:r>
              <w:proofErr w:type="spellStart"/>
              <w:r>
                <w:t>Eurocom</w:t>
              </w:r>
              <w:proofErr w:type="spellEnd"/>
              <w:r>
                <w:t>“, UAB „Solocomas“, AB Lietuvos radijo ir televizijos centras, UAB „</w:t>
              </w:r>
              <w:proofErr w:type="spellStart"/>
              <w:r>
                <w:t>Telekomunikaciju</w:t>
              </w:r>
              <w:proofErr w:type="spellEnd"/>
              <w:r>
                <w:t xml:space="preserve"> </w:t>
              </w:r>
              <w:proofErr w:type="spellStart"/>
              <w:r>
                <w:t>grupa</w:t>
              </w:r>
              <w:proofErr w:type="spellEnd"/>
              <w:r>
                <w:t>“, UAB „Omnitel“, VĮ „Infostruktūra“, UAB „Bitė Lietuva“, AB „</w:t>
              </w:r>
              <w:proofErr w:type="spellStart"/>
              <w:r>
                <w:t>Ogmios</w:t>
              </w:r>
              <w:proofErr w:type="spellEnd"/>
              <w:r>
                <w:t xml:space="preserve"> centras“, UAB „</w:t>
              </w:r>
              <w:proofErr w:type="spellStart"/>
              <w:r>
                <w:t>Neltė</w:t>
              </w:r>
              <w:proofErr w:type="spellEnd"/>
              <w:r>
                <w:t>“, UAB „Trys penketai“, UAB „</w:t>
              </w:r>
              <w:proofErr w:type="spellStart"/>
              <w:r>
                <w:t>Transcom</w:t>
              </w:r>
              <w:proofErr w:type="spellEnd"/>
              <w:r>
                <w:t xml:space="preserve"> </w:t>
              </w:r>
              <w:proofErr w:type="spellStart"/>
              <w:r>
                <w:t>WorldWide</w:t>
              </w:r>
              <w:proofErr w:type="spellEnd"/>
              <w:r>
                <w:t xml:space="preserve"> Vilnius“, UAB „CSC </w:t>
              </w:r>
              <w:proofErr w:type="spellStart"/>
              <w:r>
                <w:t>Telecom</w:t>
              </w:r>
              <w:proofErr w:type="spellEnd"/>
              <w:r>
                <w:t>“, UAB „</w:t>
              </w:r>
              <w:proofErr w:type="spellStart"/>
              <w:r>
                <w:t>Baltnetos</w:t>
              </w:r>
              <w:proofErr w:type="spellEnd"/>
              <w:r>
                <w:t xml:space="preserve"> komunikacijos“, UAB „FCL“, UAB „CHARTWELL NETWORK“, UAB „</w:t>
              </w:r>
              <w:proofErr w:type="spellStart"/>
              <w:r>
                <w:t>Teleinformacijos</w:t>
              </w:r>
              <w:proofErr w:type="spellEnd"/>
              <w:r>
                <w:t xml:space="preserve"> paslaugos“, UAB „</w:t>
              </w:r>
              <w:proofErr w:type="spellStart"/>
              <w:r>
                <w:t>Linx</w:t>
              </w:r>
              <w:proofErr w:type="spellEnd"/>
              <w:r>
                <w:t xml:space="preserve"> </w:t>
              </w:r>
              <w:proofErr w:type="spellStart"/>
              <w:r>
                <w:t>Telecommunications</w:t>
              </w:r>
              <w:proofErr w:type="spellEnd"/>
              <w:r>
                <w:t>“ atžvilgiu neapibrėžiama.</w:t>
              </w:r>
            </w:p>
          </w:sdtContent>
        </w:sdt>
        <w:bookmarkEnd w:id="11" w:displacedByCustomXml="next"/>
        <w:bookmarkStart w:id="12" w:name="Xa40fc4a9288747679092a634246cb9c5" w:displacedByCustomXml="next"/>
        <w:sdt>
          <w:sdtPr>
            <w:alias w:val="4 p."/>
            <w:tag w:val="part_a40fc4a9288747679092a634246cb9c5"/>
            <w:id w:val="1349988688"/>
            <w:lock w:val="sdtLocked"/>
          </w:sdtPr>
          <w:sdtEndPr/>
          <w:sdtContent>
            <w:p w:rsidR="0088560F" w:rsidRDefault="00ED5D8F">
              <w:pPr>
                <w:widowControl w:val="0"/>
                <w:shd w:val="clear" w:color="auto" w:fill="FFFFFF"/>
                <w:ind w:firstLine="709"/>
                <w:jc w:val="both"/>
              </w:pPr>
              <w:r>
                <w:t xml:space="preserve">4. </w:t>
              </w:r>
              <w:r>
                <w:rPr>
                  <w:spacing w:val="60"/>
                </w:rPr>
                <w:t>Informuoj</w:t>
              </w:r>
              <w:r>
                <w:t>u, kad šis įsakymas gali būti apskųstas Lietuvos Respublikos administracinių bylų teisenos įstatymo (Žin., 1999, Nr. 13-308; 2000, Nr. 85-2566) nustatyta tvarka ir terminais.</w:t>
              </w:r>
            </w:p>
          </w:sdtContent>
        </w:sdt>
        <w:bookmarkEnd w:id="12" w:displacedByCustomXml="next"/>
        <w:bookmarkStart w:id="13" w:name="X7bce3a3bdd234b79be4beb88136b6069" w:displacedByCustomXml="next"/>
        <w:sdt>
          <w:sdtPr>
            <w:alias w:val="5 p."/>
            <w:tag w:val="part_7bce3a3bdd234b79be4beb88136b6069"/>
            <w:id w:val="453918315"/>
            <w:lock w:val="sdtLocked"/>
          </w:sdtPr>
          <w:sdtEndPr/>
          <w:sdtContent>
            <w:p w:rsidR="0088560F" w:rsidRDefault="00ED5D8F">
              <w:pPr>
                <w:widowControl w:val="0"/>
                <w:shd w:val="clear" w:color="auto" w:fill="FFFFFF"/>
                <w:ind w:firstLine="709"/>
                <w:jc w:val="both"/>
              </w:pPr>
              <w:r>
                <w:t xml:space="preserve">5. </w:t>
              </w:r>
              <w:r>
                <w:rPr>
                  <w:spacing w:val="60"/>
                </w:rPr>
                <w:t>Nurodau</w:t>
              </w:r>
              <w:r>
                <w:t xml:space="preserve"> šį įsakymą paskelbti „Valstybės žinių“ priede „Informaciniai pranešimai“.</w:t>
              </w:r>
            </w:p>
            <w:p w:rsidR="0088560F" w:rsidRDefault="0088560F">
              <w:pPr>
                <w:ind w:firstLine="709"/>
              </w:pPr>
            </w:p>
            <w:p w:rsidR="0088560F" w:rsidRDefault="004B715C">
              <w:pPr>
                <w:ind w:firstLine="709"/>
              </w:pPr>
            </w:p>
          </w:sdtContent>
        </w:sdt>
        <w:bookmarkEnd w:id="13"/>
        <w:p w:rsidR="0088560F" w:rsidRDefault="00ED5D8F">
          <w:pPr>
            <w:pStyle w:val="LLPSignatura"/>
            <w:rPr>
              <w:rStyle w:val="LLCTekstas"/>
            </w:rPr>
          </w:pPr>
          <w:r>
            <w:rPr>
              <w:rStyle w:val="LLCTekstas"/>
            </w:rPr>
            <w:t>DIREKTORIUS</w:t>
          </w:r>
          <w:r>
            <w:rPr>
              <w:rStyle w:val="LLCTekstas"/>
            </w:rPr>
            <w:tab/>
            <w:t>TOMAS BARAKAUSKAS</w:t>
          </w:r>
        </w:p>
        <w:p w:rsidR="0088560F" w:rsidRDefault="00ED5D8F">
          <w:pPr>
            <w:jc w:val="center"/>
          </w:pPr>
          <w:r>
            <w:t>______________</w:t>
          </w:r>
        </w:p>
        <w:p w:rsidR="0088560F" w:rsidRDefault="004B715C">
          <w:pPr>
            <w:ind w:firstLine="709"/>
          </w:pPr>
        </w:p>
      </w:sdtContent>
    </w:sdt>
    <w:sectPr w:rsidR="0088560F">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60F" w:rsidRDefault="00ED5D8F">
      <w:r>
        <w:separator/>
      </w:r>
    </w:p>
  </w:endnote>
  <w:endnote w:type="continuationSeparator" w:id="0">
    <w:p w:rsidR="0088560F" w:rsidRDefault="00ED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60F" w:rsidRDefault="008856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60F" w:rsidRDefault="008856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60F" w:rsidRDefault="00885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60F" w:rsidRDefault="00ED5D8F">
      <w:r>
        <w:separator/>
      </w:r>
    </w:p>
  </w:footnote>
  <w:footnote w:type="continuationSeparator" w:id="0">
    <w:p w:rsidR="0088560F" w:rsidRDefault="00ED5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60F" w:rsidRDefault="002F3C3C">
    <w:pPr>
      <w:pStyle w:val="Header"/>
      <w:framePr w:wrap="around" w:vAnchor="text" w:hAnchor="margin" w:xAlign="center" w:y="1"/>
      <w:rPr>
        <w:rStyle w:val="PageNumber"/>
      </w:rPr>
    </w:pPr>
    <w:r>
      <w:rPr>
        <w:rStyle w:val="PageNumber"/>
      </w:rPr>
      <w:fldChar w:fldCharType="begin"/>
    </w:r>
    <w:r w:rsidR="00ED5D8F">
      <w:rPr>
        <w:rStyle w:val="PageNumber"/>
      </w:rPr>
      <w:instrText xml:space="preserve">PAGE  </w:instrText>
    </w:r>
    <w:r>
      <w:rPr>
        <w:rStyle w:val="PageNumber"/>
      </w:rPr>
      <w:fldChar w:fldCharType="end"/>
    </w:r>
  </w:p>
  <w:p w:rsidR="0088560F" w:rsidRDefault="008856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60F" w:rsidRDefault="002F3C3C">
    <w:pPr>
      <w:pStyle w:val="Header"/>
      <w:framePr w:wrap="around" w:vAnchor="text" w:hAnchor="margin" w:xAlign="center" w:y="1"/>
      <w:rPr>
        <w:rStyle w:val="PageNumber"/>
      </w:rPr>
    </w:pPr>
    <w:r>
      <w:rPr>
        <w:rStyle w:val="PageNumber"/>
      </w:rPr>
      <w:fldChar w:fldCharType="begin"/>
    </w:r>
    <w:r w:rsidR="00ED5D8F">
      <w:rPr>
        <w:rStyle w:val="PageNumber"/>
      </w:rPr>
      <w:instrText xml:space="preserve">PAGE  </w:instrText>
    </w:r>
    <w:r>
      <w:rPr>
        <w:rStyle w:val="PageNumber"/>
      </w:rPr>
      <w:fldChar w:fldCharType="separate"/>
    </w:r>
    <w:r w:rsidR="004B715C">
      <w:rPr>
        <w:rStyle w:val="PageNumber"/>
        <w:noProof/>
      </w:rPr>
      <w:t>1</w:t>
    </w:r>
    <w:r>
      <w:rPr>
        <w:rStyle w:val="PageNumber"/>
      </w:rPr>
      <w:fldChar w:fldCharType="end"/>
    </w:r>
  </w:p>
  <w:p w:rsidR="0088560F" w:rsidRDefault="008856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60F" w:rsidRDefault="00885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BEA3F2"/>
    <w:lvl w:ilvl="0">
      <w:start w:val="1"/>
      <w:numFmt w:val="decimal"/>
      <w:lvlText w:val="%1."/>
      <w:lvlJc w:val="left"/>
      <w:pPr>
        <w:tabs>
          <w:tab w:val="num" w:pos="1492"/>
        </w:tabs>
        <w:ind w:left="1492" w:hanging="360"/>
      </w:pPr>
    </w:lvl>
  </w:abstractNum>
  <w:abstractNum w:abstractNumId="1">
    <w:nsid w:val="FFFFFF7D"/>
    <w:multiLevelType w:val="singleLevel"/>
    <w:tmpl w:val="84809E24"/>
    <w:lvl w:ilvl="0">
      <w:start w:val="1"/>
      <w:numFmt w:val="decimal"/>
      <w:lvlText w:val="%1."/>
      <w:lvlJc w:val="left"/>
      <w:pPr>
        <w:tabs>
          <w:tab w:val="num" w:pos="1209"/>
        </w:tabs>
        <w:ind w:left="1209" w:hanging="360"/>
      </w:pPr>
    </w:lvl>
  </w:abstractNum>
  <w:abstractNum w:abstractNumId="2">
    <w:nsid w:val="FFFFFF7E"/>
    <w:multiLevelType w:val="singleLevel"/>
    <w:tmpl w:val="E278B9B4"/>
    <w:lvl w:ilvl="0">
      <w:start w:val="1"/>
      <w:numFmt w:val="decimal"/>
      <w:lvlText w:val="%1."/>
      <w:lvlJc w:val="left"/>
      <w:pPr>
        <w:tabs>
          <w:tab w:val="num" w:pos="926"/>
        </w:tabs>
        <w:ind w:left="926" w:hanging="360"/>
      </w:pPr>
    </w:lvl>
  </w:abstractNum>
  <w:abstractNum w:abstractNumId="3">
    <w:nsid w:val="FFFFFF7F"/>
    <w:multiLevelType w:val="singleLevel"/>
    <w:tmpl w:val="06541848"/>
    <w:lvl w:ilvl="0">
      <w:start w:val="1"/>
      <w:numFmt w:val="decimal"/>
      <w:lvlText w:val="%1."/>
      <w:lvlJc w:val="left"/>
      <w:pPr>
        <w:tabs>
          <w:tab w:val="num" w:pos="643"/>
        </w:tabs>
        <w:ind w:left="643" w:hanging="360"/>
      </w:pPr>
    </w:lvl>
  </w:abstractNum>
  <w:abstractNum w:abstractNumId="4">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90BDEE"/>
    <w:lvl w:ilvl="0">
      <w:start w:val="1"/>
      <w:numFmt w:val="decimal"/>
      <w:lvlText w:val="%1."/>
      <w:lvlJc w:val="left"/>
      <w:pPr>
        <w:tabs>
          <w:tab w:val="num" w:pos="360"/>
        </w:tabs>
        <w:ind w:left="360" w:hanging="360"/>
      </w:pPr>
    </w:lvl>
  </w:abstractNum>
  <w:abstractNum w:abstractNumId="9">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60F"/>
    <w:rsid w:val="0019750C"/>
    <w:rsid w:val="002F3C3C"/>
    <w:rsid w:val="004B715C"/>
    <w:rsid w:val="004D0CDC"/>
    <w:rsid w:val="00777793"/>
    <w:rsid w:val="0088560F"/>
    <w:rsid w:val="00C9521C"/>
    <w:rsid w:val="00ED5D8F"/>
    <w:rsid w:val="00F7553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CDC"/>
    <w:rPr>
      <w:sz w:val="24"/>
      <w:lang w:eastAsia="en-US"/>
    </w:rPr>
  </w:style>
  <w:style w:type="paragraph" w:styleId="Heading1">
    <w:name w:val="heading 1"/>
    <w:basedOn w:val="Normal"/>
    <w:next w:val="Normal"/>
    <w:qFormat/>
    <w:rsid w:val="004D0CDC"/>
    <w:pPr>
      <w:keepNext/>
      <w:spacing w:before="240" w:after="60"/>
      <w:outlineLvl w:val="0"/>
    </w:pPr>
    <w:rPr>
      <w:rFonts w:ascii="Arial" w:hAnsi="Arial"/>
      <w:b/>
      <w:kern w:val="28"/>
      <w:sz w:val="28"/>
    </w:rPr>
  </w:style>
  <w:style w:type="paragraph" w:styleId="Heading4">
    <w:name w:val="heading 4"/>
    <w:basedOn w:val="Normal"/>
    <w:next w:val="Normal"/>
    <w:qFormat/>
    <w:rsid w:val="004D0CDC"/>
    <w:pPr>
      <w:keepNext/>
      <w:numPr>
        <w:ilvl w:val="12"/>
      </w:numPr>
      <w:tabs>
        <w:tab w:val="left" w:pos="270"/>
      </w:tabs>
      <w:spacing w:line="240" w:lineRule="exact"/>
      <w:jc w:val="right"/>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1">
    <w:name w:val="Stilius1"/>
    <w:basedOn w:val="Normal"/>
    <w:autoRedefine/>
    <w:rsid w:val="004D0CDC"/>
  </w:style>
  <w:style w:type="paragraph" w:customStyle="1" w:styleId="Stilius2">
    <w:name w:val="Stilius2"/>
    <w:basedOn w:val="Heading1"/>
    <w:autoRedefine/>
    <w:rsid w:val="004D0CDC"/>
    <w:rPr>
      <w:rFonts w:ascii="Times New Roman" w:hAnsi="Times New Roman"/>
    </w:rPr>
  </w:style>
  <w:style w:type="paragraph" w:customStyle="1" w:styleId="Stilius3">
    <w:name w:val="Stilius3"/>
    <w:basedOn w:val="Heading1"/>
    <w:autoRedefine/>
    <w:rsid w:val="004D0CDC"/>
  </w:style>
  <w:style w:type="paragraph" w:customStyle="1" w:styleId="Stilius4">
    <w:name w:val="Stilius4"/>
    <w:basedOn w:val="Heading1"/>
    <w:autoRedefine/>
    <w:rsid w:val="004D0CDC"/>
    <w:rPr>
      <w:rFonts w:ascii="Times New Roman" w:hAnsi="Times New Roman"/>
    </w:rPr>
  </w:style>
  <w:style w:type="paragraph" w:customStyle="1" w:styleId="Preformatted">
    <w:name w:val="Preformatted"/>
    <w:basedOn w:val="Normal"/>
    <w:rsid w:val="004D0C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rsid w:val="004D0CDC"/>
    <w:pPr>
      <w:tabs>
        <w:tab w:val="center" w:pos="4153"/>
        <w:tab w:val="right" w:pos="8306"/>
      </w:tabs>
    </w:pPr>
    <w:rPr>
      <w:lang w:val="en-GB"/>
    </w:rPr>
  </w:style>
  <w:style w:type="paragraph" w:customStyle="1" w:styleId="LLPTekstas">
    <w:name w:val="LLPTekstas"/>
    <w:basedOn w:val="Normal"/>
    <w:rsid w:val="004D0CDC"/>
    <w:pPr>
      <w:ind w:firstLine="567"/>
      <w:jc w:val="both"/>
    </w:pPr>
  </w:style>
  <w:style w:type="paragraph" w:customStyle="1" w:styleId="LLPPavadinimas">
    <w:name w:val="LLPPavadinimas"/>
    <w:basedOn w:val="LLPTekstas"/>
    <w:rsid w:val="004D0CDC"/>
    <w:pPr>
      <w:ind w:firstLine="0"/>
      <w:jc w:val="center"/>
    </w:pPr>
    <w:rPr>
      <w:b/>
    </w:rPr>
  </w:style>
  <w:style w:type="paragraph" w:customStyle="1" w:styleId="LLPNepastraip">
    <w:name w:val="LLPNepastraip"/>
    <w:basedOn w:val="LLPTekstas"/>
    <w:rsid w:val="004D0CDC"/>
    <w:pPr>
      <w:ind w:firstLine="0"/>
      <w:jc w:val="left"/>
    </w:pPr>
  </w:style>
  <w:style w:type="character" w:styleId="PageNumber">
    <w:name w:val="page number"/>
    <w:basedOn w:val="DefaultParagraphFont"/>
    <w:rsid w:val="004D0CDC"/>
  </w:style>
  <w:style w:type="character" w:styleId="CommentReference">
    <w:name w:val="annotation reference"/>
    <w:basedOn w:val="DefaultParagraphFont"/>
    <w:semiHidden/>
    <w:rsid w:val="004D0CDC"/>
    <w:rPr>
      <w:sz w:val="16"/>
    </w:rPr>
  </w:style>
  <w:style w:type="paragraph" w:styleId="CommentText">
    <w:name w:val="annotation text"/>
    <w:basedOn w:val="Normal"/>
    <w:semiHidden/>
    <w:rsid w:val="004D0CDC"/>
  </w:style>
  <w:style w:type="character" w:styleId="Hyperlink">
    <w:name w:val="Hyperlink"/>
    <w:basedOn w:val="DefaultParagraphFont"/>
    <w:rsid w:val="004D0CDC"/>
    <w:rPr>
      <w:color w:val="0000FF"/>
      <w:u w:val="single"/>
    </w:rPr>
  </w:style>
  <w:style w:type="character" w:styleId="FollowedHyperlink">
    <w:name w:val="FollowedHyperlink"/>
    <w:basedOn w:val="DefaultParagraphFont"/>
    <w:rsid w:val="004D0CDC"/>
    <w:rPr>
      <w:color w:val="800080"/>
      <w:u w:val="single"/>
    </w:rPr>
  </w:style>
  <w:style w:type="character" w:customStyle="1" w:styleId="LLCStraipsnis">
    <w:name w:val="LLCStraipsnis"/>
    <w:basedOn w:val="LLCTekstas"/>
    <w:rsid w:val="004D0CDC"/>
    <w:rPr>
      <w:b/>
      <w:color w:val="auto"/>
    </w:rPr>
  </w:style>
  <w:style w:type="character" w:customStyle="1" w:styleId="LLCRedakcija">
    <w:name w:val="LLCRedakcija"/>
    <w:basedOn w:val="LLCTekstas"/>
    <w:rsid w:val="004D0CDC"/>
    <w:rPr>
      <w:i/>
      <w:color w:val="auto"/>
    </w:rPr>
  </w:style>
  <w:style w:type="paragraph" w:customStyle="1" w:styleId="LLPStraipsnis">
    <w:name w:val="LLPStraipsnis"/>
    <w:basedOn w:val="LLPTekstas"/>
    <w:next w:val="LLPTekstas"/>
    <w:rsid w:val="004D0CDC"/>
    <w:pPr>
      <w:ind w:left="1843" w:hanging="1276"/>
    </w:pPr>
  </w:style>
  <w:style w:type="character" w:customStyle="1" w:styleId="LLCTekstas">
    <w:name w:val="LLCTekstas"/>
    <w:basedOn w:val="DefaultParagraphFont"/>
    <w:rsid w:val="004D0CDC"/>
    <w:rPr>
      <w:color w:val="auto"/>
    </w:rPr>
  </w:style>
  <w:style w:type="character" w:customStyle="1" w:styleId="LLCStraipsnPav">
    <w:name w:val="LLCStraipsnPav"/>
    <w:basedOn w:val="LLCStraipsnis"/>
    <w:rsid w:val="004D0CDC"/>
    <w:rPr>
      <w:rFonts w:ascii="Times New Roman" w:hAnsi="Times New Roman"/>
      <w:b/>
      <w:color w:val="auto"/>
      <w:sz w:val="24"/>
    </w:rPr>
  </w:style>
  <w:style w:type="character" w:customStyle="1" w:styleId="LLCFixed">
    <w:name w:val="LLCFixed"/>
    <w:basedOn w:val="DefaultParagraphFont"/>
    <w:rsid w:val="004D0CDC"/>
    <w:rPr>
      <w:rFonts w:ascii="Courier New" w:hAnsi="Courier New"/>
      <w:noProof w:val="0"/>
      <w:sz w:val="20"/>
      <w:lang w:val="lt-LT"/>
    </w:rPr>
  </w:style>
  <w:style w:type="paragraph" w:customStyle="1" w:styleId="LLPSignatura">
    <w:name w:val="LLPSignatura"/>
    <w:basedOn w:val="LLPNepastraip"/>
    <w:autoRedefine/>
    <w:rsid w:val="004D0CDC"/>
    <w:pPr>
      <w:tabs>
        <w:tab w:val="right" w:pos="9639"/>
      </w:tabs>
    </w:pPr>
    <w:rPr>
      <w:caps/>
    </w:rPr>
  </w:style>
  <w:style w:type="paragraph" w:customStyle="1" w:styleId="LLPPriedelis">
    <w:name w:val="LLPPriedelis"/>
    <w:basedOn w:val="LLPTekstas"/>
    <w:autoRedefine/>
    <w:rsid w:val="004D0CDC"/>
    <w:pPr>
      <w:ind w:firstLine="5103"/>
      <w:jc w:val="left"/>
    </w:pPr>
  </w:style>
  <w:style w:type="paragraph" w:customStyle="1" w:styleId="LLPPunktoRedakcija">
    <w:name w:val="LLPPunktoRedakcija"/>
    <w:basedOn w:val="LLPTekstas"/>
    <w:rsid w:val="004D0CDC"/>
    <w:pPr>
      <w:tabs>
        <w:tab w:val="left" w:pos="992"/>
      </w:tabs>
      <w:ind w:left="992" w:hanging="425"/>
    </w:pPr>
  </w:style>
  <w:style w:type="paragraph" w:customStyle="1" w:styleId="LLPStraipsnPav">
    <w:name w:val="LLPStraipsnPav"/>
    <w:basedOn w:val="LLPStraipsnis"/>
    <w:rsid w:val="004D0CDC"/>
    <w:pPr>
      <w:ind w:left="2410" w:hanging="1701"/>
    </w:pPr>
    <w:rPr>
      <w:b/>
    </w:rPr>
  </w:style>
  <w:style w:type="paragraph" w:styleId="BodyTextIndent">
    <w:name w:val="Body Text Indent"/>
    <w:basedOn w:val="Normal"/>
    <w:rsid w:val="004D0CDC"/>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4D0CDC"/>
    <w:pPr>
      <w:jc w:val="center"/>
    </w:pPr>
  </w:style>
  <w:style w:type="paragraph" w:styleId="BodyText2">
    <w:name w:val="Body Text 2"/>
    <w:basedOn w:val="Normal"/>
    <w:rsid w:val="004D0CDC"/>
    <w:pPr>
      <w:tabs>
        <w:tab w:val="left" w:pos="0"/>
      </w:tabs>
      <w:spacing w:line="360" w:lineRule="auto"/>
      <w:jc w:val="both"/>
    </w:pPr>
    <w:rPr>
      <w:rFonts w:ascii="TimesLT" w:hAnsi="TimesLT"/>
    </w:rPr>
  </w:style>
  <w:style w:type="paragraph" w:customStyle="1" w:styleId="TPSkyrius">
    <w:name w:val="TPSkyrius"/>
    <w:basedOn w:val="Normal"/>
    <w:rsid w:val="004D0CDC"/>
    <w:pPr>
      <w:autoSpaceDE w:val="0"/>
      <w:autoSpaceDN w:val="0"/>
      <w:adjustRightInd w:val="0"/>
    </w:pPr>
    <w:rPr>
      <w:rFonts w:cs="Courier New"/>
      <w:noProof/>
      <w:sz w:val="22"/>
    </w:rPr>
  </w:style>
  <w:style w:type="paragraph" w:customStyle="1" w:styleId="TPSkirsnis">
    <w:name w:val="TPSkirsnis"/>
    <w:basedOn w:val="Normal"/>
    <w:link w:val="TPSkirsnisChar"/>
    <w:rsid w:val="004D0CDC"/>
    <w:pPr>
      <w:autoSpaceDE w:val="0"/>
      <w:autoSpaceDN w:val="0"/>
      <w:adjustRightInd w:val="0"/>
    </w:pPr>
    <w:rPr>
      <w:rFonts w:cs="Courier New"/>
      <w:noProof/>
      <w:sz w:val="22"/>
    </w:rPr>
  </w:style>
  <w:style w:type="character" w:customStyle="1" w:styleId="TPSkirsnisChar">
    <w:name w:val="TPSkirsnis Char"/>
    <w:basedOn w:val="DefaultParagraphFont"/>
    <w:link w:val="TPSkirsnis"/>
    <w:rsid w:val="004D0CDC"/>
    <w:rPr>
      <w:rFonts w:cs="Courier New"/>
      <w:noProof/>
      <w:sz w:val="22"/>
      <w:lang w:val="lt-LT" w:eastAsia="en-US" w:bidi="ar-SA"/>
    </w:rPr>
  </w:style>
  <w:style w:type="paragraph" w:customStyle="1" w:styleId="TPStraipsnis">
    <w:name w:val="TPStraipsnis"/>
    <w:basedOn w:val="Normal"/>
    <w:rsid w:val="004D0CDC"/>
    <w:pPr>
      <w:autoSpaceDE w:val="0"/>
      <w:autoSpaceDN w:val="0"/>
      <w:adjustRightInd w:val="0"/>
    </w:pPr>
    <w:rPr>
      <w:rFonts w:cs="Courier New"/>
      <w:noProof/>
      <w:sz w:val="22"/>
    </w:rPr>
  </w:style>
  <w:style w:type="paragraph" w:customStyle="1" w:styleId="TPDalis">
    <w:name w:val="TPDalis"/>
    <w:basedOn w:val="Normal"/>
    <w:rsid w:val="004D0CDC"/>
    <w:pPr>
      <w:autoSpaceDE w:val="0"/>
      <w:autoSpaceDN w:val="0"/>
      <w:adjustRightInd w:val="0"/>
    </w:pPr>
    <w:rPr>
      <w:rFonts w:cs="Courier New"/>
      <w:noProof/>
      <w:sz w:val="22"/>
    </w:rPr>
  </w:style>
  <w:style w:type="paragraph" w:customStyle="1" w:styleId="TPPunktas">
    <w:name w:val="TPPunktas"/>
    <w:basedOn w:val="Normal"/>
    <w:rsid w:val="004D0CDC"/>
    <w:pPr>
      <w:autoSpaceDE w:val="0"/>
      <w:autoSpaceDN w:val="0"/>
      <w:adjustRightInd w:val="0"/>
    </w:pPr>
    <w:rPr>
      <w:rFonts w:cs="Courier New"/>
      <w:noProof/>
      <w:sz w:val="22"/>
    </w:rPr>
  </w:style>
  <w:style w:type="paragraph" w:customStyle="1" w:styleId="TPPapunktis">
    <w:name w:val="TPPapunktis"/>
    <w:basedOn w:val="Normal"/>
    <w:rsid w:val="004D0CDC"/>
    <w:pPr>
      <w:autoSpaceDE w:val="0"/>
      <w:autoSpaceDN w:val="0"/>
      <w:adjustRightInd w:val="0"/>
    </w:pPr>
    <w:rPr>
      <w:rFonts w:cs="Courier New"/>
      <w:noProof/>
    </w:rPr>
  </w:style>
  <w:style w:type="paragraph" w:customStyle="1" w:styleId="TPPriedas">
    <w:name w:val="TPPriedas"/>
    <w:basedOn w:val="Normal"/>
    <w:rsid w:val="004D0CDC"/>
    <w:pPr>
      <w:autoSpaceDE w:val="0"/>
      <w:autoSpaceDN w:val="0"/>
      <w:adjustRightInd w:val="0"/>
    </w:pPr>
    <w:rPr>
      <w:rFonts w:ascii="Courier New" w:hAnsi="Courier New" w:cs="Courier New"/>
      <w:noProof/>
    </w:rPr>
  </w:style>
  <w:style w:type="character" w:customStyle="1" w:styleId="TCSkyrius">
    <w:name w:val="TCSkyrius"/>
    <w:basedOn w:val="DefaultParagraphFont"/>
    <w:rsid w:val="004D0CDC"/>
    <w:rPr>
      <w:rFonts w:ascii="Times New Roman" w:hAnsi="Times New Roman"/>
      <w:sz w:val="22"/>
    </w:rPr>
  </w:style>
  <w:style w:type="character" w:customStyle="1" w:styleId="TCSkirsnis">
    <w:name w:val="TCSkirsnis"/>
    <w:basedOn w:val="DefaultParagraphFont"/>
    <w:rsid w:val="004D0CDC"/>
    <w:rPr>
      <w:rFonts w:ascii="Times New Roman" w:hAnsi="Times New Roman"/>
      <w:sz w:val="22"/>
    </w:rPr>
  </w:style>
  <w:style w:type="character" w:customStyle="1" w:styleId="TCStraipsnis">
    <w:name w:val="TCStraipsnis"/>
    <w:basedOn w:val="DefaultParagraphFont"/>
    <w:rsid w:val="004D0CDC"/>
    <w:rPr>
      <w:rFonts w:ascii="Times New Roman" w:hAnsi="Times New Roman"/>
      <w:sz w:val="22"/>
    </w:rPr>
  </w:style>
  <w:style w:type="character" w:customStyle="1" w:styleId="Dalis">
    <w:name w:val="Dalis"/>
    <w:basedOn w:val="DefaultParagraphFont"/>
    <w:rsid w:val="004D0CDC"/>
    <w:rPr>
      <w:rFonts w:ascii="Times New Roman" w:hAnsi="Times New Roman"/>
      <w:sz w:val="22"/>
    </w:rPr>
  </w:style>
  <w:style w:type="character" w:customStyle="1" w:styleId="TCPunktas">
    <w:name w:val="TCPunktas"/>
    <w:basedOn w:val="DefaultParagraphFont"/>
    <w:rsid w:val="004D0CDC"/>
    <w:rPr>
      <w:rFonts w:ascii="Verdana" w:hAnsi="Verdana"/>
      <w:sz w:val="24"/>
    </w:rPr>
  </w:style>
  <w:style w:type="character" w:customStyle="1" w:styleId="TCPapunktis">
    <w:name w:val="TCPapunktis"/>
    <w:basedOn w:val="DefaultParagraphFont"/>
    <w:rsid w:val="004D0CDC"/>
    <w:rPr>
      <w:rFonts w:ascii="Verdana" w:hAnsi="Verdana"/>
      <w:sz w:val="20"/>
    </w:rPr>
  </w:style>
  <w:style w:type="character" w:customStyle="1" w:styleId="TCPriedas">
    <w:name w:val="TCPriedas"/>
    <w:basedOn w:val="DefaultParagraphFont"/>
    <w:rsid w:val="004D0CDC"/>
    <w:rPr>
      <w:rFonts w:ascii="Courier New" w:hAnsi="Courier New"/>
      <w:sz w:val="20"/>
    </w:rPr>
  </w:style>
  <w:style w:type="character" w:customStyle="1" w:styleId="TCDalis">
    <w:name w:val="TCDalis"/>
    <w:basedOn w:val="DefaultParagraphFont"/>
    <w:rsid w:val="004D0CDC"/>
    <w:rPr>
      <w:rFonts w:ascii="Times New Roman" w:hAnsi="Times New Roman"/>
      <w:sz w:val="22"/>
    </w:rPr>
  </w:style>
  <w:style w:type="paragraph" w:styleId="Footer">
    <w:name w:val="footer"/>
    <w:basedOn w:val="Normal"/>
    <w:rsid w:val="0030709C"/>
    <w:pPr>
      <w:tabs>
        <w:tab w:val="center" w:pos="4819"/>
        <w:tab w:val="right" w:pos="9638"/>
      </w:tabs>
    </w:pPr>
  </w:style>
  <w:style w:type="paragraph" w:styleId="BalloonText">
    <w:name w:val="Balloon Text"/>
    <w:basedOn w:val="Normal"/>
    <w:link w:val="BalloonTextChar"/>
    <w:rsid w:val="004B715C"/>
    <w:rPr>
      <w:rFonts w:ascii="Tahoma" w:hAnsi="Tahoma" w:cs="Tahoma"/>
      <w:sz w:val="16"/>
      <w:szCs w:val="16"/>
    </w:rPr>
  </w:style>
  <w:style w:type="character" w:customStyle="1" w:styleId="BalloonTextChar">
    <w:name w:val="Balloon Text Char"/>
    <w:basedOn w:val="DefaultParagraphFont"/>
    <w:link w:val="BalloonText"/>
    <w:rsid w:val="004B715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CDC"/>
    <w:rPr>
      <w:sz w:val="24"/>
      <w:lang w:eastAsia="en-US"/>
    </w:rPr>
  </w:style>
  <w:style w:type="paragraph" w:styleId="Heading1">
    <w:name w:val="heading 1"/>
    <w:basedOn w:val="Normal"/>
    <w:next w:val="Normal"/>
    <w:qFormat/>
    <w:rsid w:val="004D0CDC"/>
    <w:pPr>
      <w:keepNext/>
      <w:spacing w:before="240" w:after="60"/>
      <w:outlineLvl w:val="0"/>
    </w:pPr>
    <w:rPr>
      <w:rFonts w:ascii="Arial" w:hAnsi="Arial"/>
      <w:b/>
      <w:kern w:val="28"/>
      <w:sz w:val="28"/>
    </w:rPr>
  </w:style>
  <w:style w:type="paragraph" w:styleId="Heading4">
    <w:name w:val="heading 4"/>
    <w:basedOn w:val="Normal"/>
    <w:next w:val="Normal"/>
    <w:qFormat/>
    <w:rsid w:val="004D0CDC"/>
    <w:pPr>
      <w:keepNext/>
      <w:numPr>
        <w:ilvl w:val="12"/>
      </w:numPr>
      <w:tabs>
        <w:tab w:val="left" w:pos="270"/>
      </w:tabs>
      <w:spacing w:line="240" w:lineRule="exact"/>
      <w:jc w:val="right"/>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1">
    <w:name w:val="Stilius1"/>
    <w:basedOn w:val="Normal"/>
    <w:autoRedefine/>
    <w:rsid w:val="004D0CDC"/>
  </w:style>
  <w:style w:type="paragraph" w:customStyle="1" w:styleId="Stilius2">
    <w:name w:val="Stilius2"/>
    <w:basedOn w:val="Heading1"/>
    <w:autoRedefine/>
    <w:rsid w:val="004D0CDC"/>
    <w:rPr>
      <w:rFonts w:ascii="Times New Roman" w:hAnsi="Times New Roman"/>
    </w:rPr>
  </w:style>
  <w:style w:type="paragraph" w:customStyle="1" w:styleId="Stilius3">
    <w:name w:val="Stilius3"/>
    <w:basedOn w:val="Heading1"/>
    <w:autoRedefine/>
    <w:rsid w:val="004D0CDC"/>
  </w:style>
  <w:style w:type="paragraph" w:customStyle="1" w:styleId="Stilius4">
    <w:name w:val="Stilius4"/>
    <w:basedOn w:val="Heading1"/>
    <w:autoRedefine/>
    <w:rsid w:val="004D0CDC"/>
    <w:rPr>
      <w:rFonts w:ascii="Times New Roman" w:hAnsi="Times New Roman"/>
    </w:rPr>
  </w:style>
  <w:style w:type="paragraph" w:customStyle="1" w:styleId="Preformatted">
    <w:name w:val="Preformatted"/>
    <w:basedOn w:val="Normal"/>
    <w:rsid w:val="004D0C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rsid w:val="004D0CDC"/>
    <w:pPr>
      <w:tabs>
        <w:tab w:val="center" w:pos="4153"/>
        <w:tab w:val="right" w:pos="8306"/>
      </w:tabs>
    </w:pPr>
    <w:rPr>
      <w:lang w:val="en-GB"/>
    </w:rPr>
  </w:style>
  <w:style w:type="paragraph" w:customStyle="1" w:styleId="LLPTekstas">
    <w:name w:val="LLPTekstas"/>
    <w:basedOn w:val="Normal"/>
    <w:rsid w:val="004D0CDC"/>
    <w:pPr>
      <w:ind w:firstLine="567"/>
      <w:jc w:val="both"/>
    </w:pPr>
  </w:style>
  <w:style w:type="paragraph" w:customStyle="1" w:styleId="LLPPavadinimas">
    <w:name w:val="LLPPavadinimas"/>
    <w:basedOn w:val="LLPTekstas"/>
    <w:rsid w:val="004D0CDC"/>
    <w:pPr>
      <w:ind w:firstLine="0"/>
      <w:jc w:val="center"/>
    </w:pPr>
    <w:rPr>
      <w:b/>
    </w:rPr>
  </w:style>
  <w:style w:type="paragraph" w:customStyle="1" w:styleId="LLPNepastraip">
    <w:name w:val="LLPNepastraip"/>
    <w:basedOn w:val="LLPTekstas"/>
    <w:rsid w:val="004D0CDC"/>
    <w:pPr>
      <w:ind w:firstLine="0"/>
      <w:jc w:val="left"/>
    </w:pPr>
  </w:style>
  <w:style w:type="character" w:styleId="PageNumber">
    <w:name w:val="page number"/>
    <w:basedOn w:val="DefaultParagraphFont"/>
    <w:rsid w:val="004D0CDC"/>
  </w:style>
  <w:style w:type="character" w:styleId="CommentReference">
    <w:name w:val="annotation reference"/>
    <w:basedOn w:val="DefaultParagraphFont"/>
    <w:semiHidden/>
    <w:rsid w:val="004D0CDC"/>
    <w:rPr>
      <w:sz w:val="16"/>
    </w:rPr>
  </w:style>
  <w:style w:type="paragraph" w:styleId="CommentText">
    <w:name w:val="annotation text"/>
    <w:basedOn w:val="Normal"/>
    <w:semiHidden/>
    <w:rsid w:val="004D0CDC"/>
  </w:style>
  <w:style w:type="character" w:styleId="Hyperlink">
    <w:name w:val="Hyperlink"/>
    <w:basedOn w:val="DefaultParagraphFont"/>
    <w:rsid w:val="004D0CDC"/>
    <w:rPr>
      <w:color w:val="0000FF"/>
      <w:u w:val="single"/>
    </w:rPr>
  </w:style>
  <w:style w:type="character" w:styleId="FollowedHyperlink">
    <w:name w:val="FollowedHyperlink"/>
    <w:basedOn w:val="DefaultParagraphFont"/>
    <w:rsid w:val="004D0CDC"/>
    <w:rPr>
      <w:color w:val="800080"/>
      <w:u w:val="single"/>
    </w:rPr>
  </w:style>
  <w:style w:type="character" w:customStyle="1" w:styleId="LLCStraipsnis">
    <w:name w:val="LLCStraipsnis"/>
    <w:basedOn w:val="LLCTekstas"/>
    <w:rsid w:val="004D0CDC"/>
    <w:rPr>
      <w:b/>
      <w:color w:val="auto"/>
    </w:rPr>
  </w:style>
  <w:style w:type="character" w:customStyle="1" w:styleId="LLCRedakcija">
    <w:name w:val="LLCRedakcija"/>
    <w:basedOn w:val="LLCTekstas"/>
    <w:rsid w:val="004D0CDC"/>
    <w:rPr>
      <w:i/>
      <w:color w:val="auto"/>
    </w:rPr>
  </w:style>
  <w:style w:type="paragraph" w:customStyle="1" w:styleId="LLPStraipsnis">
    <w:name w:val="LLPStraipsnis"/>
    <w:basedOn w:val="LLPTekstas"/>
    <w:next w:val="LLPTekstas"/>
    <w:rsid w:val="004D0CDC"/>
    <w:pPr>
      <w:ind w:left="1843" w:hanging="1276"/>
    </w:pPr>
  </w:style>
  <w:style w:type="character" w:customStyle="1" w:styleId="LLCTekstas">
    <w:name w:val="LLCTekstas"/>
    <w:basedOn w:val="DefaultParagraphFont"/>
    <w:rsid w:val="004D0CDC"/>
    <w:rPr>
      <w:color w:val="auto"/>
    </w:rPr>
  </w:style>
  <w:style w:type="character" w:customStyle="1" w:styleId="LLCStraipsnPav">
    <w:name w:val="LLCStraipsnPav"/>
    <w:basedOn w:val="LLCStraipsnis"/>
    <w:rsid w:val="004D0CDC"/>
    <w:rPr>
      <w:rFonts w:ascii="Times New Roman" w:hAnsi="Times New Roman"/>
      <w:b/>
      <w:color w:val="auto"/>
      <w:sz w:val="24"/>
    </w:rPr>
  </w:style>
  <w:style w:type="character" w:customStyle="1" w:styleId="LLCFixed">
    <w:name w:val="LLCFixed"/>
    <w:basedOn w:val="DefaultParagraphFont"/>
    <w:rsid w:val="004D0CDC"/>
    <w:rPr>
      <w:rFonts w:ascii="Courier New" w:hAnsi="Courier New"/>
      <w:noProof w:val="0"/>
      <w:sz w:val="20"/>
      <w:lang w:val="lt-LT"/>
    </w:rPr>
  </w:style>
  <w:style w:type="paragraph" w:customStyle="1" w:styleId="LLPSignatura">
    <w:name w:val="LLPSignatura"/>
    <w:basedOn w:val="LLPNepastraip"/>
    <w:autoRedefine/>
    <w:rsid w:val="004D0CDC"/>
    <w:pPr>
      <w:tabs>
        <w:tab w:val="right" w:pos="9639"/>
      </w:tabs>
    </w:pPr>
    <w:rPr>
      <w:caps/>
    </w:rPr>
  </w:style>
  <w:style w:type="paragraph" w:customStyle="1" w:styleId="LLPPriedelis">
    <w:name w:val="LLPPriedelis"/>
    <w:basedOn w:val="LLPTekstas"/>
    <w:autoRedefine/>
    <w:rsid w:val="004D0CDC"/>
    <w:pPr>
      <w:ind w:firstLine="5103"/>
      <w:jc w:val="left"/>
    </w:pPr>
  </w:style>
  <w:style w:type="paragraph" w:customStyle="1" w:styleId="LLPPunktoRedakcija">
    <w:name w:val="LLPPunktoRedakcija"/>
    <w:basedOn w:val="LLPTekstas"/>
    <w:rsid w:val="004D0CDC"/>
    <w:pPr>
      <w:tabs>
        <w:tab w:val="left" w:pos="992"/>
      </w:tabs>
      <w:ind w:left="992" w:hanging="425"/>
    </w:pPr>
  </w:style>
  <w:style w:type="paragraph" w:customStyle="1" w:styleId="LLPStraipsnPav">
    <w:name w:val="LLPStraipsnPav"/>
    <w:basedOn w:val="LLPStraipsnis"/>
    <w:rsid w:val="004D0CDC"/>
    <w:pPr>
      <w:ind w:left="2410" w:hanging="1701"/>
    </w:pPr>
    <w:rPr>
      <w:b/>
    </w:rPr>
  </w:style>
  <w:style w:type="paragraph" w:styleId="BodyTextIndent">
    <w:name w:val="Body Text Indent"/>
    <w:basedOn w:val="Normal"/>
    <w:rsid w:val="004D0CDC"/>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4D0CDC"/>
    <w:pPr>
      <w:jc w:val="center"/>
    </w:pPr>
  </w:style>
  <w:style w:type="paragraph" w:styleId="BodyText2">
    <w:name w:val="Body Text 2"/>
    <w:basedOn w:val="Normal"/>
    <w:rsid w:val="004D0CDC"/>
    <w:pPr>
      <w:tabs>
        <w:tab w:val="left" w:pos="0"/>
      </w:tabs>
      <w:spacing w:line="360" w:lineRule="auto"/>
      <w:jc w:val="both"/>
    </w:pPr>
    <w:rPr>
      <w:rFonts w:ascii="TimesLT" w:hAnsi="TimesLT"/>
    </w:rPr>
  </w:style>
  <w:style w:type="paragraph" w:customStyle="1" w:styleId="TPSkyrius">
    <w:name w:val="TPSkyrius"/>
    <w:basedOn w:val="Normal"/>
    <w:rsid w:val="004D0CDC"/>
    <w:pPr>
      <w:autoSpaceDE w:val="0"/>
      <w:autoSpaceDN w:val="0"/>
      <w:adjustRightInd w:val="0"/>
    </w:pPr>
    <w:rPr>
      <w:rFonts w:cs="Courier New"/>
      <w:noProof/>
      <w:sz w:val="22"/>
    </w:rPr>
  </w:style>
  <w:style w:type="paragraph" w:customStyle="1" w:styleId="TPSkirsnis">
    <w:name w:val="TPSkirsnis"/>
    <w:basedOn w:val="Normal"/>
    <w:link w:val="TPSkirsnisChar"/>
    <w:rsid w:val="004D0CDC"/>
    <w:pPr>
      <w:autoSpaceDE w:val="0"/>
      <w:autoSpaceDN w:val="0"/>
      <w:adjustRightInd w:val="0"/>
    </w:pPr>
    <w:rPr>
      <w:rFonts w:cs="Courier New"/>
      <w:noProof/>
      <w:sz w:val="22"/>
    </w:rPr>
  </w:style>
  <w:style w:type="character" w:customStyle="1" w:styleId="TPSkirsnisChar">
    <w:name w:val="TPSkirsnis Char"/>
    <w:basedOn w:val="DefaultParagraphFont"/>
    <w:link w:val="TPSkirsnis"/>
    <w:rsid w:val="004D0CDC"/>
    <w:rPr>
      <w:rFonts w:cs="Courier New"/>
      <w:noProof/>
      <w:sz w:val="22"/>
      <w:lang w:val="lt-LT" w:eastAsia="en-US" w:bidi="ar-SA"/>
    </w:rPr>
  </w:style>
  <w:style w:type="paragraph" w:customStyle="1" w:styleId="TPStraipsnis">
    <w:name w:val="TPStraipsnis"/>
    <w:basedOn w:val="Normal"/>
    <w:rsid w:val="004D0CDC"/>
    <w:pPr>
      <w:autoSpaceDE w:val="0"/>
      <w:autoSpaceDN w:val="0"/>
      <w:adjustRightInd w:val="0"/>
    </w:pPr>
    <w:rPr>
      <w:rFonts w:cs="Courier New"/>
      <w:noProof/>
      <w:sz w:val="22"/>
    </w:rPr>
  </w:style>
  <w:style w:type="paragraph" w:customStyle="1" w:styleId="TPDalis">
    <w:name w:val="TPDalis"/>
    <w:basedOn w:val="Normal"/>
    <w:rsid w:val="004D0CDC"/>
    <w:pPr>
      <w:autoSpaceDE w:val="0"/>
      <w:autoSpaceDN w:val="0"/>
      <w:adjustRightInd w:val="0"/>
    </w:pPr>
    <w:rPr>
      <w:rFonts w:cs="Courier New"/>
      <w:noProof/>
      <w:sz w:val="22"/>
    </w:rPr>
  </w:style>
  <w:style w:type="paragraph" w:customStyle="1" w:styleId="TPPunktas">
    <w:name w:val="TPPunktas"/>
    <w:basedOn w:val="Normal"/>
    <w:rsid w:val="004D0CDC"/>
    <w:pPr>
      <w:autoSpaceDE w:val="0"/>
      <w:autoSpaceDN w:val="0"/>
      <w:adjustRightInd w:val="0"/>
    </w:pPr>
    <w:rPr>
      <w:rFonts w:cs="Courier New"/>
      <w:noProof/>
      <w:sz w:val="22"/>
    </w:rPr>
  </w:style>
  <w:style w:type="paragraph" w:customStyle="1" w:styleId="TPPapunktis">
    <w:name w:val="TPPapunktis"/>
    <w:basedOn w:val="Normal"/>
    <w:rsid w:val="004D0CDC"/>
    <w:pPr>
      <w:autoSpaceDE w:val="0"/>
      <w:autoSpaceDN w:val="0"/>
      <w:adjustRightInd w:val="0"/>
    </w:pPr>
    <w:rPr>
      <w:rFonts w:cs="Courier New"/>
      <w:noProof/>
    </w:rPr>
  </w:style>
  <w:style w:type="paragraph" w:customStyle="1" w:styleId="TPPriedas">
    <w:name w:val="TPPriedas"/>
    <w:basedOn w:val="Normal"/>
    <w:rsid w:val="004D0CDC"/>
    <w:pPr>
      <w:autoSpaceDE w:val="0"/>
      <w:autoSpaceDN w:val="0"/>
      <w:adjustRightInd w:val="0"/>
    </w:pPr>
    <w:rPr>
      <w:rFonts w:ascii="Courier New" w:hAnsi="Courier New" w:cs="Courier New"/>
      <w:noProof/>
    </w:rPr>
  </w:style>
  <w:style w:type="character" w:customStyle="1" w:styleId="TCSkyrius">
    <w:name w:val="TCSkyrius"/>
    <w:basedOn w:val="DefaultParagraphFont"/>
    <w:rsid w:val="004D0CDC"/>
    <w:rPr>
      <w:rFonts w:ascii="Times New Roman" w:hAnsi="Times New Roman"/>
      <w:sz w:val="22"/>
    </w:rPr>
  </w:style>
  <w:style w:type="character" w:customStyle="1" w:styleId="TCSkirsnis">
    <w:name w:val="TCSkirsnis"/>
    <w:basedOn w:val="DefaultParagraphFont"/>
    <w:rsid w:val="004D0CDC"/>
    <w:rPr>
      <w:rFonts w:ascii="Times New Roman" w:hAnsi="Times New Roman"/>
      <w:sz w:val="22"/>
    </w:rPr>
  </w:style>
  <w:style w:type="character" w:customStyle="1" w:styleId="TCStraipsnis">
    <w:name w:val="TCStraipsnis"/>
    <w:basedOn w:val="DefaultParagraphFont"/>
    <w:rsid w:val="004D0CDC"/>
    <w:rPr>
      <w:rFonts w:ascii="Times New Roman" w:hAnsi="Times New Roman"/>
      <w:sz w:val="22"/>
    </w:rPr>
  </w:style>
  <w:style w:type="character" w:customStyle="1" w:styleId="Dalis">
    <w:name w:val="Dalis"/>
    <w:basedOn w:val="DefaultParagraphFont"/>
    <w:rsid w:val="004D0CDC"/>
    <w:rPr>
      <w:rFonts w:ascii="Times New Roman" w:hAnsi="Times New Roman"/>
      <w:sz w:val="22"/>
    </w:rPr>
  </w:style>
  <w:style w:type="character" w:customStyle="1" w:styleId="TCPunktas">
    <w:name w:val="TCPunktas"/>
    <w:basedOn w:val="DefaultParagraphFont"/>
    <w:rsid w:val="004D0CDC"/>
    <w:rPr>
      <w:rFonts w:ascii="Verdana" w:hAnsi="Verdana"/>
      <w:sz w:val="24"/>
    </w:rPr>
  </w:style>
  <w:style w:type="character" w:customStyle="1" w:styleId="TCPapunktis">
    <w:name w:val="TCPapunktis"/>
    <w:basedOn w:val="DefaultParagraphFont"/>
    <w:rsid w:val="004D0CDC"/>
    <w:rPr>
      <w:rFonts w:ascii="Verdana" w:hAnsi="Verdana"/>
      <w:sz w:val="20"/>
    </w:rPr>
  </w:style>
  <w:style w:type="character" w:customStyle="1" w:styleId="TCPriedas">
    <w:name w:val="TCPriedas"/>
    <w:basedOn w:val="DefaultParagraphFont"/>
    <w:rsid w:val="004D0CDC"/>
    <w:rPr>
      <w:rFonts w:ascii="Courier New" w:hAnsi="Courier New"/>
      <w:sz w:val="20"/>
    </w:rPr>
  </w:style>
  <w:style w:type="character" w:customStyle="1" w:styleId="TCDalis">
    <w:name w:val="TCDalis"/>
    <w:basedOn w:val="DefaultParagraphFont"/>
    <w:rsid w:val="004D0CDC"/>
    <w:rPr>
      <w:rFonts w:ascii="Times New Roman" w:hAnsi="Times New Roman"/>
      <w:sz w:val="22"/>
    </w:rPr>
  </w:style>
  <w:style w:type="paragraph" w:styleId="Footer">
    <w:name w:val="footer"/>
    <w:basedOn w:val="Normal"/>
    <w:rsid w:val="0030709C"/>
    <w:pPr>
      <w:tabs>
        <w:tab w:val="center" w:pos="4819"/>
        <w:tab w:val="right" w:pos="9638"/>
      </w:tabs>
    </w:pPr>
  </w:style>
  <w:style w:type="paragraph" w:styleId="BalloonText">
    <w:name w:val="Balloon Text"/>
    <w:basedOn w:val="Normal"/>
    <w:link w:val="BalloonTextChar"/>
    <w:rsid w:val="004B715C"/>
    <w:rPr>
      <w:rFonts w:ascii="Tahoma" w:hAnsi="Tahoma" w:cs="Tahoma"/>
      <w:sz w:val="16"/>
      <w:szCs w:val="16"/>
    </w:rPr>
  </w:style>
  <w:style w:type="character" w:customStyle="1" w:styleId="BalloonTextChar">
    <w:name w:val="Balloon Text Char"/>
    <w:basedOn w:val="DefaultParagraphFont"/>
    <w:link w:val="BalloonText"/>
    <w:rsid w:val="004B715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DocPartId="5cdb911f79cf49b095e0f873621afd9f" PartId="a2b4fdf14940429eba21e65ca3a3cbc8" Type="pagrindine">
    <Part DocPartId="4a12198be4d74f088e9b04e9c679645e" PartId="b31560b6dc8d4067980de401b1ca6f21" Type="preambule"/>
    <Part DocPartId="7e57d44f992b4f6a9c5d499fbac70caf" PartId="34d1701760a542f8afe98b380a824280" Type="punktas" Nr="1" Abbr="1 p.">
      <Part DocPartId="e9b8eafc5ec5421d87bad07b784d1962" PartId="86aecdd4d22f4531832af33a3f93152e" Type="punktas" Nr="1.1" Abbr="1.1 p."/>
      <Part DocPartId="2b3a2fe6557845dfa0fca22bd150ab07" PartId="73956d5db0194bf1804907f646b8ea70" Type="punktas" Nr="1.2" Abbr="1.2 p."/>
      <Part DocPartId="01015d6b805d42878385328010cb92ff" PartId="3cff875117d148fb933a56824f6486c1" Type="punktas" Nr="1.3" Abbr="1.3 p."/>
      <Part DocPartId="7d08ab6d67b848dfa2f1cc0c60f55b03" PartId="a07aa564c1d94e2095426171a76776b6" Type="punktas" Nr="1.4" Abbr="1.4 p.">
        <Part DocPartId="23cd421247e042f8af9373874a1e390c" PartId="c1795fbabedb49d5b77e763311e0b88f" Type="punktas" Nr="1.4.1" Abbr="1.4.1 p."/>
        <Part DocPartId="8ae6e5e1540845fe8f010f5808bf30fd" PartId="4f187f3790ec4641bcf9e42bb8ceca08" Type="punktas" Nr="1.4.2" Abbr="1.4.2 p."/>
        <Part DocPartId="09166f148e7f477abf53e19089e4cf0f" PartId="604ae0b0a44f458a90b14b5a8e63f871" Type="punktas" Nr="1.4.3" Abbr="1.4.3 p."/>
      </Part>
    </Part>
    <Part DocPartId="61b603aaa8f94b6b81ec2ea2c766557a" PartId="30c622d3054b4585b05895f0bdb99f9d" Type="punktas" Nr="2" Abbr="2 p."/>
    <Part DocPartId="36b25213145c4e3ea8d29114f9aad789" PartId="cf1bacf9fca94c8cbfc35470c68ecebb" Type="punktas" Nr="3" Abbr="3 p."/>
    <Part DocPartId="6ba4654b40234cb0b150ce839b68bac2" PartId="a40fc4a9288747679092a634246cb9c5" Type="punktas" Nr="4" Abbr="4 p."/>
    <Part DocPartId="effd305046334104b31f8607942d1937" PartId="7bce3a3bdd234b79be4beb88136b6069" Type="punktas" Nr="5" Abbr="5 p."/>
  </Part>
</Parts>
</file>

<file path=customXml/itemProps1.xml><?xml version="1.0" encoding="utf-8"?>
<ds:datastoreItem xmlns:ds="http://schemas.openxmlformats.org/officeDocument/2006/customXml" ds:itemID="{8937D65E-19D6-4992-9FFC-BF87BEC17A8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3347</Words>
  <Characters>1908</Characters>
  <Application>Microsoft Office Word</Application>
  <DocSecurity>0</DocSecurity>
  <Lines>15</Lines>
  <Paragraphs>10</Paragraphs>
  <ScaleCrop>false</ScaleCrop>
  <Company>Teisines informacijos centras</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RYŠIŲ REGULIAVIMO TARNYBOS DIREKTORIAUS</dc:title>
  <dc:subject/>
  <dc:creator>Sandra</dc:creator>
  <cp:keywords/>
  <dc:description/>
  <cp:lastModifiedBy>Rita Liuokaitytė</cp:lastModifiedBy>
  <cp:revision>3</cp:revision>
  <dcterms:created xsi:type="dcterms:W3CDTF">2013-12-29T01:59:00Z</dcterms:created>
  <dcterms:modified xsi:type="dcterms:W3CDTF">2014-05-27T05:43:00Z</dcterms:modified>
</cp:coreProperties>
</file>