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extended-properties" Target="docProps/app.xml"/>
  <Relationship Id="rId3" Type="http://schemas.openxmlformats.org/officeDocument/2006/relationships/officeDocument" Target="word/document.xml"/>
  <Relationship Id="rId4" Type="http://schemas.openxmlformats.org/package/2006/relationships/metadata/core-properties" Target="docProps/core.xml"/>
</Relationships>

</file>

<file path=word/document.xml><?xml version="1.0" encoding="utf-8"?>
<w:document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taisx="http://lrs.lt/TAIS/DocPartXmlMark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body>
    <w:p>
      <w:pPr>
        <w:jc w:val="both"/>
        <w:rPr>
          <w:rFonts w:ascii="Times New Roman" w:hAnsi="Times New Roman"/>
        </w:rPr>
      </w:pPr>
      <w:r>
        <w:rPr>
          <w:rFonts w:ascii="Times New Roman" w:hAnsi="Times New Roman"/>
          <w:b/>
          <w:i/>
        </w:rPr>
        <w:t>Suvestinė redakcija nuo 2021-02-01</w:t>
      </w:r>
    </w:p>
    <w:p>
      <w:pPr>
        <w:jc w:val="both"/>
        <w:rPr>
          <w:rFonts w:ascii="Times New Roman" w:hAnsi="Times New Roman"/>
          <w:sz w:val="20"/>
        </w:rPr>
      </w:pPr>
    </w:p>
    <w:p>
      <w:pPr>
        <w:jc w:val="both"/>
        <w:rPr>
          <w:rFonts w:ascii="Times New Roman" w:hAnsi="Times New Roman"/>
          <w:sz w:val="20"/>
        </w:rPr>
      </w:pPr>
      <w:bookmarkStart w:id="0" w:name="_GoBack"/>
      <w:bookmarkEnd w:id="0"/>
      <w:r>
        <w:rPr>
          <w:rFonts w:ascii="Times New Roman" w:hAnsi="Times New Roman"/>
          <w:sz w:val="20"/>
          <w:i/>
        </w:rPr>
        <w:t xml:space="preserve">Įsakymas paskelbtas: Žin. 2006, Nr. </w:t>
      </w:r>
      <w:fldSimple w:instr="HYPERLINK https://www.e-tar.lt/portal/legalAct.html?documentId=TAR.FE8EBD6B3370">
        <w:r w:rsidRPr="00532B9F">
          <w:rPr>
            <w:rFonts w:ascii="Times New Roman" w:eastAsia="MS Mincho" w:hAnsi="Times New Roman"/>
            <w:sz w:val="20"/>
            <w:i/>
            <w:iCs/>
            <w:color w:val="0000FF" w:themeColor="hyperlink"/>
            <w:u w:val="single"/>
          </w:rPr>
          <w:t>110-4192</w:t>
        </w:r>
      </w:fldSimple>
      <w:r>
        <w:rPr>
          <w:rFonts w:ascii="Times New Roman" w:eastAsia="MS Mincho" w:hAnsi="Times New Roman"/>
          <w:sz w:val="20"/>
          <w:i/>
          <w:iCs/>
        </w:rPr>
        <w:t>, i. k. 10611RRISAK01V-1053</w:t>
      </w:r>
    </w:p>
    <w:p>
      <w:pPr>
        <w:jc w:val="both"/>
        <w:rPr>
          <w:rFonts w:ascii="Times New Roman" w:hAnsi="Times New Roman"/>
          <w:sz w:val="20"/>
        </w:rPr>
      </w:pPr>
    </w:p>
    <w:p>
      <w:pPr>
        <w:tabs>
          <w:tab w:val="center" w:pos="4153"/>
          <w:tab w:val="right" w:pos="8306"/>
        </w:tabs>
        <w:rPr>
          <w:b/>
          <w:lang w:eastAsia="lt-LT"/>
        </w:rPr>
      </w:pPr>
      <w:r>
        <w:rPr>
          <w:b/>
          <w:lang w:eastAsia="lt-LT"/>
        </w:rPr>
        <w:pict>
          <v:shapetype id="_x0000_t201" coordsize="21600,21600" o:spt="201" path="m,l,21600r21600,l21600,xe">
            <v:stroke joinstyle="miter"/>
            <v:path shadowok="f" o:extrusionok="f" strokeok="f" fillok="f" o:connecttype="rect"/>
            <o:lock v:ext="edit" shapetype="t"/>
          </v:shapetype>
          <v:shape id="_x0000_s1030" type="#_x0000_t201" style="position:absolute;margin-left:0;margin-top:0;width:.75pt;height:.75pt;z-index:251657728;visibility:hidden;mso-position-horizontal-relative:text;mso-position-vertical-relative:text" stroked="f">
            <v:imagedata r:id="rId13" o:title=""/>
          </v:shape>
          <w:control r:id="rId14" w:name="Control 6" w:shapeid="_x0000_s1030"/>
        </w:pict>
        <w:t>LIETUVOS RESPUBLIKOS RYŠIŲ REGULIAVIMO TARNYBOS DIREKTORIUS</w:t>
      </w:r>
    </w:p>
    <w:p>
      <w:pPr>
        <w:jc w:val="center"/>
      </w:pPr>
    </w:p>
    <w:p>
      <w:pPr>
        <w:jc w:val="center"/>
        <w:rPr>
          <w:b/>
        </w:rPr>
      </w:pPr>
      <w:r>
        <w:rPr>
          <w:b/>
        </w:rPr>
        <w:t>Į S A K Y M A S</w:t>
      </w:r>
    </w:p>
    <w:p>
      <w:pPr>
        <w:jc w:val="center"/>
        <w:rPr>
          <w:b/>
        </w:rPr>
      </w:pPr>
      <w:r>
        <w:rPr>
          <w:b/>
        </w:rPr>
        <w:t xml:space="preserve">DĖL LIETUVOS RESPUBLIKOS RYŠIŲ REGULIAVIMO TARNYBOS STACIONARIŲJŲ RADIJO STEBĖSENOS STOČIŲ APSAUGOS NUO STIPRIŲ ELEKTROMAGNETINIŲ LAUKŲ, SUKELIAMŲ JŲ APLINKOJE VEIKIANČIŲ RADIJO RYŠIO STOČIŲ, TAISYKLIŲ PATVIRTINIMO </w:t>
      </w:r>
    </w:p>
    <w:p>
      <w:pPr>
        <w:jc w:val="center"/>
      </w:pPr>
    </w:p>
    <w:p>
      <w:pPr>
        <w:jc w:val="center"/>
      </w:pPr>
      <w:r>
        <w:t>2006 m. spalio 5 d. Nr. 1V-1053</w:t>
      </w:r>
    </w:p>
    <w:p>
      <w:pPr>
        <w:jc w:val="center"/>
      </w:pPr>
      <w:r>
        <w:t>Vilnius</w:t>
      </w:r>
    </w:p>
    <w:p>
      <w:pPr>
        <w:ind w:firstLine="709"/>
      </w:pPr>
    </w:p>
    <w:p>
      <w:pPr>
        <w:ind w:firstLine="709"/>
      </w:pPr>
    </w:p>
    <w:p>
      <w:pPr>
        <w:pStyle w:val="PlainText"/>
        <w:rPr>
          <w:rFonts w:ascii="Times New Roman" w:eastAsia="MS Mincho" w:hAnsi="Times New Roman"/>
          <w:sz w:val="20"/>
          <w:i/>
          <w:iCs/>
        </w:rPr>
      </w:pPr>
      <w:r>
        <w:rPr>
          <w:rFonts w:ascii="Times New Roman" w:eastAsia="MS Mincho" w:hAnsi="Times New Roman"/>
          <w:sz w:val="20"/>
          <w:i/>
          <w:iCs/>
        </w:rPr>
        <w:t>Pakeistas teisės akto pavadinimas: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512b8a10e48511e68503b67e3b82e8bd">
        <w:r w:rsidRPr="00532B9F">
          <w:rPr>
            <w:rFonts w:ascii="Times New Roman" w:eastAsia="MS Mincho" w:hAnsi="Times New Roman"/>
            <w:sz w:val="20"/>
            <w:i/>
            <w:iCs/>
            <w:color w:val="0000FF" w:themeColor="hyperlink"/>
            <w:u w:val="single"/>
          </w:rPr>
          <w:t>1V-101</w:t>
        </w:r>
      </w:fldSimple>
      <w:r>
        <w:rPr>
          <w:rFonts w:ascii="Times New Roman" w:eastAsia="MS Mincho" w:hAnsi="Times New Roman"/>
          <w:sz w:val="20"/>
          <w:i/>
          <w:iCs/>
        </w:rPr>
        <w:t>,
2017-01-27,
paskelbta TAR 2017-01-27, i. k. 2017-01595        </w:t>
      </w:r>
    </w:p>
    <w:p/>
    <w:p>
      <w:pPr>
        <w:ind w:firstLine="709"/>
        <w:jc w:val="both"/>
      </w:pPr>
      <w:r>
        <w:rPr>
          <w:szCs w:val="24"/>
        </w:rPr>
        <w:t>Vadovaudamasis Lietuvos Respublikos elektroninių ryšių įstatymo 46 straipsnio 2 dalimi ir</w:t>
      </w:r>
      <w:r>
        <w:rPr>
          <w:b/>
          <w:szCs w:val="24"/>
        </w:rPr>
        <w:t xml:space="preserve"> </w:t>
      </w:r>
      <w:r>
        <w:rPr>
          <w:szCs w:val="24"/>
        </w:rPr>
        <w:t>atsižvelgdamas į Tarptautinės telekomunikacijų sąjungos 2013 m. spalio</w:t>
      </w:r>
      <w:r>
        <w:rPr>
          <w:b/>
          <w:szCs w:val="24"/>
        </w:rPr>
        <w:t xml:space="preserve"> </w:t>
      </w:r>
      <w:r>
        <w:rPr>
          <w:szCs w:val="24"/>
        </w:rPr>
        <w:t>mėn. rekomendaciją ITU-R SM. 575</w:t>
      </w:r>
      <w:r>
        <w:rPr>
          <w:b/>
          <w:szCs w:val="24"/>
        </w:rPr>
        <w:t>-</w:t>
      </w:r>
      <w:r>
        <w:rPr>
          <w:szCs w:val="24"/>
        </w:rPr>
        <w:t>2 (10/2013) (angl.</w:t>
      </w:r>
      <w:r>
        <w:rPr>
          <w:rFonts w:ascii="TimesLT" w:hAnsi="TimesLT"/>
          <w:sz w:val="20"/>
        </w:rPr>
        <w:t xml:space="preserve"> </w:t>
      </w:r>
      <w:r>
        <w:rPr>
          <w:i/>
          <w:szCs w:val="24"/>
        </w:rPr>
        <w:t>Protection of fixed monitoring stations against interference from nearby or strong transmitters</w:t>
      </w:r>
      <w:r>
        <w:rPr>
          <w:szCs w:val="24"/>
        </w:rPr>
        <w:t>):</w:t>
      </w:r>
      <w:r>
        <w:t xml:space="preserve"> </w:t>
      </w:r>
    </w:p>
    <w:p>
      <w:pPr>
        <w:pStyle w:val="PlainText"/>
        <w:rPr>
          <w:rFonts w:ascii="Times New Roman" w:eastAsia="MS Mincho" w:hAnsi="Times New Roman"/>
          <w:sz w:val="20"/>
          <w:i/>
          <w:iCs/>
        </w:rPr>
      </w:pPr>
      <w:r>
        <w:rPr>
          <w:rFonts w:ascii="Times New Roman" w:eastAsia="MS Mincho" w:hAnsi="Times New Roman"/>
          <w:sz w:val="20"/>
          <w:i/>
          <w:iCs/>
        </w:rPr>
        <w:t>Preambulės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512b8a10e48511e68503b67e3b82e8bd">
        <w:r w:rsidRPr="00532B9F">
          <w:rPr>
            <w:rFonts w:ascii="Times New Roman" w:eastAsia="MS Mincho" w:hAnsi="Times New Roman"/>
            <w:sz w:val="20"/>
            <w:i/>
            <w:iCs/>
            <w:color w:val="0000FF" w:themeColor="hyperlink"/>
            <w:u w:val="single"/>
          </w:rPr>
          <w:t>1V-101</w:t>
        </w:r>
      </w:fldSimple>
      <w:r>
        <w:rPr>
          <w:rFonts w:ascii="Times New Roman" w:eastAsia="MS Mincho" w:hAnsi="Times New Roman"/>
          <w:sz w:val="20"/>
          <w:i/>
          <w:iCs/>
        </w:rPr>
        <w:t>,
2017-01-27,
paskelbta TAR 2017-01-27, i. k. 2017-01595            </w:t>
      </w:r>
    </w:p>
    <w:p/>
    <w:p>
      <w:pPr>
        <w:ind w:firstLine="709"/>
        <w:jc w:val="both"/>
      </w:pPr>
      <w:r>
        <w:rPr>
          <w:szCs w:val="24"/>
        </w:rPr>
        <w:t>1</w:t>
      </w:r>
      <w:r>
        <w:rPr>
          <w:szCs w:val="24"/>
        </w:rPr>
        <w:t>. T v i r t i n u Lietuvos Respublikos</w:t>
      </w:r>
      <w:r>
        <w:rPr>
          <w:b/>
          <w:szCs w:val="24"/>
        </w:rPr>
        <w:t xml:space="preserve"> </w:t>
      </w:r>
      <w:r>
        <w:rPr>
          <w:szCs w:val="24"/>
        </w:rPr>
        <w:t>ryšių reguliavimo tarnybos stacionariųjų</w:t>
      </w:r>
      <w:r>
        <w:rPr>
          <w:b/>
          <w:szCs w:val="24"/>
        </w:rPr>
        <w:t xml:space="preserve"> </w:t>
      </w:r>
      <w:r>
        <w:rPr>
          <w:szCs w:val="24"/>
        </w:rPr>
        <w:t>radijo stebėsenos stočių apsaugos nuo stiprių elektromagnetinių laukų, sukeliamų jų aplinkoje veikiančių radijo ryšio stočių, taisykles (pridedama).</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512b8a10e48511e68503b67e3b82e8bd">
        <w:r w:rsidRPr="00532B9F">
          <w:rPr>
            <w:rFonts w:ascii="Times New Roman" w:eastAsia="MS Mincho" w:hAnsi="Times New Roman"/>
            <w:sz w:val="20"/>
            <w:i/>
            <w:iCs/>
            <w:color w:val="0000FF" w:themeColor="hyperlink"/>
            <w:u w:val="single"/>
          </w:rPr>
          <w:t>1V-101</w:t>
        </w:r>
      </w:fldSimple>
      <w:r>
        <w:rPr>
          <w:rFonts w:ascii="Times New Roman" w:eastAsia="MS Mincho" w:hAnsi="Times New Roman"/>
          <w:sz w:val="20"/>
          <w:i/>
          <w:iCs/>
        </w:rPr>
        <w:t>,
2017-01-27,
paskelbta TAR 2017-01-27, i. k. 2017-01595            </w:t>
      </w:r>
    </w:p>
    <w:p/>
    <w:p>
      <w:pPr>
        <w:widowControl w:val="0"/>
        <w:shd w:val="clear" w:color="auto" w:fill="FFFFFF"/>
        <w:ind w:firstLine="709"/>
        <w:jc w:val="both"/>
      </w:pPr>
      <w:r>
        <w:t>2</w:t>
      </w:r>
      <w:r>
        <w:t xml:space="preserve">. </w:t>
      </w:r>
      <w:r>
        <w:rPr>
          <w:spacing w:val="60"/>
        </w:rPr>
        <w:t>Pripažįstu</w:t>
      </w:r>
      <w:r>
        <w:t xml:space="preserve"> netekusiu galios Ryšių reguliavimo tarnybos prie Lietuvos Respublikos Vyriausybės direktoriaus 2002 m. gruodžio 20 d. įsakymą Nr. 186 „Dėl Ryšių reguliavimo tarnybos fiksuotų radijo stebėsenos stočių apsaugos nuo stiprių elektromagnetinių laukų, sukeliamų jų aplinkoje veikiančių radijo siųstuvų, taisyklių patvirtinimo“ (Žin., 2002, Nr. </w:t>
      </w:r>
      <w:r>
        <w:rPr>
          <w:u w:val="single"/>
        </w:rPr>
        <w:t>125-5695</w:t>
      </w:r>
      <w:r>
        <w:t>).</w:t>
      </w:r>
    </w:p>
    <w:p>
      <w:pPr>
        <w:widowControl w:val="0"/>
        <w:shd w:val="clear" w:color="auto" w:fill="FFFFFF"/>
        <w:ind w:firstLine="709"/>
        <w:jc w:val="both"/>
      </w:pPr>
      <w:r>
        <w:t>3</w:t>
      </w:r>
      <w:r>
        <w:t xml:space="preserve">. </w:t>
      </w:r>
      <w:r>
        <w:rPr>
          <w:spacing w:val="60"/>
        </w:rPr>
        <w:t>Nurodau</w:t>
      </w:r>
      <w:r>
        <w:t xml:space="preserve"> šį įsakymą paskelbti oficialiame leidinyje „Valstybės žinios“.</w:t>
      </w:r>
    </w:p>
    <w:p>
      <w:pPr>
        <w:tabs>
          <w:tab w:val="right" w:pos="9639"/>
        </w:tabs>
      </w:pPr>
    </w:p>
    <w:p>
      <w:pPr>
        <w:tabs>
          <w:tab w:val="right" w:pos="9639"/>
        </w:tabs>
      </w:pPr>
    </w:p>
    <w:p>
      <w:pPr>
        <w:tabs>
          <w:tab w:val="right" w:pos="9639"/>
        </w:tabs>
      </w:pPr>
    </w:p>
    <w:p>
      <w:pPr>
        <w:tabs>
          <w:tab w:val="right" w:pos="9639"/>
        </w:tabs>
      </w:pPr>
      <w:r>
        <w:rPr>
          <w:caps/>
        </w:rPr>
        <w:t>L. E. DIREKTORIAUS PAREIGAS</w:t>
        <w:tab/>
        <w:t>ROMUALDAS LEONAVIČIUS</w:t>
      </w:r>
    </w:p>
    <w:p>
      <w:pPr>
        <w:tabs>
          <w:tab w:val="left" w:pos="1304"/>
          <w:tab w:val="left" w:pos="1457"/>
          <w:tab w:val="left" w:pos="1604"/>
          <w:tab w:val="left" w:pos="1757"/>
        </w:tabs>
        <w:ind w:firstLine="5245"/>
        <w:sectPr>
          <w:headerReference w:type="even" r:id="rId15"/>
          <w:headerReference w:type="default" r:id="rId16"/>
          <w:footerReference w:type="even" r:id="rId17"/>
          <w:footerReference w:type="default" r:id="rId18"/>
          <w:headerReference w:type="first" r:id="rId19"/>
          <w:footerReference w:type="first" r:id="rId20"/>
          <w:pgSz w:w="11907" w:h="16839" w:code="9"/>
          <w:pgMar w:top="1134" w:right="567" w:bottom="1134" w:left="1701" w:header="709" w:footer="709" w:gutter="0"/>
          <w:cols w:space="708"/>
          <w:titlePg/>
          <w:docGrid w:linePitch="326"/>
        </w:sectPr>
      </w:pPr>
    </w:p>
    <w:p>
      <w:pPr>
        <w:tabs>
          <w:tab w:val="left" w:pos="1304"/>
          <w:tab w:val="left" w:pos="1457"/>
          <w:tab w:val="left" w:pos="1604"/>
          <w:tab w:val="left" w:pos="1757"/>
        </w:tabs>
        <w:ind w:firstLine="5245"/>
      </w:pPr>
      <w:r>
        <w:t>PATVIRTINTA</w:t>
      </w:r>
    </w:p>
    <w:p>
      <w:pPr>
        <w:tabs>
          <w:tab w:val="left" w:pos="1304"/>
          <w:tab w:val="left" w:pos="1457"/>
          <w:tab w:val="left" w:pos="1604"/>
          <w:tab w:val="left" w:pos="1757"/>
        </w:tabs>
        <w:ind w:left="5245"/>
      </w:pPr>
      <w:r>
        <w:t xml:space="preserve">Lietuvos Respublikos ryšių reguliavimo </w:t>
      </w:r>
    </w:p>
    <w:p>
      <w:pPr>
        <w:tabs>
          <w:tab w:val="left" w:pos="1304"/>
          <w:tab w:val="left" w:pos="1457"/>
          <w:tab w:val="left" w:pos="1604"/>
          <w:tab w:val="left" w:pos="1757"/>
        </w:tabs>
        <w:ind w:left="5245"/>
      </w:pPr>
      <w:r>
        <w:t xml:space="preserve">tarnybos direktoriaus 2006 m. spalio 5 d. </w:t>
      </w:r>
    </w:p>
    <w:p>
      <w:pPr>
        <w:tabs>
          <w:tab w:val="left" w:pos="1304"/>
          <w:tab w:val="left" w:pos="1457"/>
          <w:tab w:val="left" w:pos="1604"/>
          <w:tab w:val="left" w:pos="1757"/>
        </w:tabs>
        <w:ind w:left="5245"/>
      </w:pPr>
      <w:r>
        <w:t>įsakymu Nr. 1V-1053</w:t>
      </w:r>
    </w:p>
    <w:p>
      <w:pPr>
        <w:tabs>
          <w:tab w:val="left" w:pos="1304"/>
          <w:tab w:val="left" w:pos="1457"/>
          <w:tab w:val="left" w:pos="1604"/>
          <w:tab w:val="left" w:pos="1757"/>
        </w:tabs>
        <w:ind w:left="5245"/>
      </w:pPr>
      <w:r>
        <w:t xml:space="preserve">(Lietuvos Respublikos ryšių reguliavimo </w:t>
      </w:r>
    </w:p>
    <w:p>
      <w:pPr>
        <w:tabs>
          <w:tab w:val="left" w:pos="1304"/>
          <w:tab w:val="left" w:pos="1457"/>
          <w:tab w:val="left" w:pos="1604"/>
          <w:tab w:val="left" w:pos="1757"/>
        </w:tabs>
        <w:ind w:left="5245"/>
      </w:pPr>
      <w:r>
        <w:t>tarnybos direktoriaus 2017 m. sausio 27 d.</w:t>
      </w:r>
    </w:p>
    <w:p>
      <w:pPr>
        <w:tabs>
          <w:tab w:val="left" w:pos="1304"/>
          <w:tab w:val="left" w:pos="1457"/>
          <w:tab w:val="left" w:pos="1604"/>
          <w:tab w:val="left" w:pos="1757"/>
        </w:tabs>
        <w:ind w:left="5245"/>
      </w:pPr>
      <w:r>
        <w:t>įsakymo Nr. 1V-101 redakcija)</w:t>
      </w:r>
    </w:p>
    <w:p>
      <w:pPr>
        <w:ind w:left="5245" w:firstLine="312"/>
        <w:jc w:val="both"/>
        <w:rPr>
          <w:szCs w:val="8"/>
        </w:rPr>
      </w:pPr>
    </w:p>
    <w:p>
      <w:pPr>
        <w:ind w:left="5245" w:firstLine="312"/>
        <w:jc w:val="both"/>
        <w:rPr>
          <w:szCs w:val="8"/>
        </w:rPr>
      </w:pPr>
    </w:p>
    <w:p>
      <w:pPr>
        <w:jc w:val="center"/>
        <w:rPr>
          <w:b/>
          <w:bCs/>
          <w:caps/>
        </w:rPr>
      </w:pPr>
      <w:r>
        <w:rPr>
          <w:b/>
          <w:bCs/>
          <w:caps/>
          <w:szCs w:val="24"/>
        </w:rPr>
        <w:t>LIETUVOS RESPUBLIKOS</w:t>
      </w:r>
      <w:r>
        <w:rPr>
          <w:b/>
          <w:bCs/>
          <w:caps/>
        </w:rPr>
        <w:t xml:space="preserve"> RYŠIŲ REGULIAVIMO TARNYBOS STACIONARIŲJŲ RADIJO STEBĖSENOS STOČIŲ APSAUGOS NUO STIPRIŲ ELEKTROMAGNETINIŲ LAUKŲ, SUKELIAMŲ JŲ APLINKOJE VEIKIANČIŲ RADIJO RYŠIO STOČIŲ, TAISYKLĖS</w:t>
      </w:r>
    </w:p>
    <w:p>
      <w:pPr>
        <w:jc w:val="center"/>
        <w:rPr>
          <w:b/>
          <w:bCs/>
          <w:caps/>
        </w:rPr>
      </w:pPr>
    </w:p>
    <w:p>
      <w:pPr>
        <w:jc w:val="center"/>
        <w:rPr>
          <w:b/>
          <w:bCs/>
          <w:caps/>
        </w:rPr>
      </w:pPr>
      <w:r>
        <w:rPr>
          <w:b/>
          <w:bCs/>
          <w:caps/>
        </w:rPr>
        <w:t>I</w:t>
      </w:r>
      <w:r>
        <w:rPr>
          <w:b/>
          <w:bCs/>
          <w:caps/>
        </w:rPr>
        <w:t xml:space="preserve"> SKYRIUS</w:t>
      </w:r>
    </w:p>
    <w:p>
      <w:pPr>
        <w:jc w:val="center"/>
        <w:rPr>
          <w:b/>
          <w:bCs/>
          <w:caps/>
        </w:rPr>
      </w:pPr>
      <w:r>
        <w:rPr>
          <w:b/>
          <w:bCs/>
          <w:caps/>
        </w:rPr>
        <w:t>BENDROSIOS NUOSTATOS</w:t>
      </w:r>
    </w:p>
    <w:p>
      <w:pPr>
        <w:ind w:firstLine="851"/>
        <w:jc w:val="both"/>
        <w:rPr>
          <w:sz w:val="28"/>
          <w:szCs w:val="24"/>
        </w:rPr>
      </w:pPr>
    </w:p>
    <w:p>
      <w:pPr>
        <w:ind w:firstLine="680"/>
        <w:jc w:val="both"/>
        <w:rPr>
          <w:szCs w:val="24"/>
        </w:rPr>
      </w:pPr>
      <w:r>
        <w:rPr>
          <w:szCs w:val="24"/>
        </w:rPr>
        <w:t>1</w:t>
      </w:r>
      <w:r>
        <w:rPr>
          <w:szCs w:val="24"/>
        </w:rPr>
        <w:t>. Lietuvos Respublikos</w:t>
      </w:r>
      <w:r>
        <w:rPr>
          <w:b/>
          <w:szCs w:val="24"/>
        </w:rPr>
        <w:t xml:space="preserve"> </w:t>
      </w:r>
      <w:r>
        <w:rPr>
          <w:szCs w:val="24"/>
        </w:rPr>
        <w:t>ryšių reguliavimo tarnybos stacionariųjų</w:t>
      </w:r>
      <w:r>
        <w:rPr>
          <w:b/>
          <w:szCs w:val="24"/>
        </w:rPr>
        <w:t xml:space="preserve"> </w:t>
      </w:r>
      <w:r>
        <w:rPr>
          <w:szCs w:val="24"/>
        </w:rPr>
        <w:t>radijo stebėsenos stočių apsaugos nuo stiprių elektromagnetinių laukų, sukeliamų jų aplinkoje veikiančių radijo ryšio stočių, taisyklės (toliau – Taisyklės) reglamentuoja Lietuvos Respublikos ryšių reguliavimo tarnybos (toliau – Tarnyba)</w:t>
      </w:r>
      <w:r>
        <w:rPr>
          <w:b/>
          <w:szCs w:val="24"/>
        </w:rPr>
        <w:t xml:space="preserve"> </w:t>
      </w:r>
      <w:r>
        <w:rPr>
          <w:szCs w:val="24"/>
        </w:rPr>
        <w:t>stacionariųjų</w:t>
      </w:r>
      <w:r>
        <w:rPr>
          <w:b/>
          <w:szCs w:val="24"/>
        </w:rPr>
        <w:t xml:space="preserve"> </w:t>
      </w:r>
      <w:r>
        <w:rPr>
          <w:szCs w:val="24"/>
        </w:rPr>
        <w:t>radijo stebėsenos stočių apsaugos nuo stiprių elektromagnetinių laukų, kuriuos sukelia jų aplinkoje veikiančios stacionariosios radijo ryšio stotys, sąlygas ir tvarką.</w:t>
      </w:r>
    </w:p>
    <w:p>
      <w:pPr>
        <w:ind w:firstLine="680"/>
        <w:jc w:val="both"/>
        <w:rPr>
          <w:szCs w:val="24"/>
        </w:rPr>
      </w:pPr>
      <w:r>
        <w:rPr>
          <w:szCs w:val="24"/>
        </w:rPr>
        <w:t>2</w:t>
      </w:r>
      <w:r>
        <w:rPr>
          <w:szCs w:val="24"/>
        </w:rPr>
        <w:t>. Taisyklėse vartojamos sąvokos:</w:t>
      </w:r>
    </w:p>
    <w:p>
      <w:pPr>
        <w:ind w:firstLine="680"/>
        <w:jc w:val="both"/>
        <w:rPr>
          <w:szCs w:val="24"/>
        </w:rPr>
      </w:pPr>
      <w:r>
        <w:rPr>
          <w:szCs w:val="24"/>
        </w:rPr>
        <w:t>2.1</w:t>
      </w:r>
      <w:r>
        <w:rPr>
          <w:szCs w:val="24"/>
        </w:rPr>
        <w:t>.</w:t>
      </w:r>
      <w:r>
        <w:rPr>
          <w:b/>
          <w:szCs w:val="24"/>
        </w:rPr>
        <w:t xml:space="preserve"> Antenų aikštelė</w:t>
      </w:r>
      <w:r>
        <w:rPr>
          <w:szCs w:val="24"/>
        </w:rPr>
        <w:t xml:space="preserve"> – ant žemės paviršiaus, pastato stogo ar bokšto įrengta aikštelė, kurioje sumontuotos stacionariosios</w:t>
      </w:r>
      <w:r>
        <w:rPr>
          <w:b/>
          <w:szCs w:val="24"/>
        </w:rPr>
        <w:t xml:space="preserve"> </w:t>
      </w:r>
      <w:r>
        <w:rPr>
          <w:szCs w:val="24"/>
        </w:rPr>
        <w:t>radijo stebėsenos stoties antenos.</w:t>
      </w:r>
    </w:p>
    <w:p>
      <w:pPr>
        <w:ind w:firstLine="680"/>
        <w:jc w:val="both"/>
        <w:rPr>
          <w:szCs w:val="24"/>
        </w:rPr>
      </w:pPr>
      <w:r>
        <w:rPr>
          <w:szCs w:val="24"/>
        </w:rPr>
        <w:t>2.2</w:t>
      </w:r>
      <w:r>
        <w:rPr>
          <w:szCs w:val="24"/>
        </w:rPr>
        <w:t>.</w:t>
      </w:r>
      <w:r>
        <w:rPr>
          <w:b/>
          <w:szCs w:val="24"/>
        </w:rPr>
        <w:t xml:space="preserve"> </w:t>
      </w:r>
      <w:r>
        <w:rPr>
          <w:szCs w:val="24"/>
        </w:rPr>
        <w:t>Kitos Taisyklėse vartojamos sąvokos apibrėžtos Lietuvos Respublikos elektroninių ryšių įstatyme ir Radijo dažnių (kanalų) skyrimo ir naudojimo taisyklėse, patvirtintose Tarnybos direktoriaus 2005 m. spalio 6 d. įsakymu Nr. 1V-854 „Dėl Radijo dažnių (kanalų) skyrimo ir naudojimo taisyklių patvirtinimo“.</w:t>
      </w:r>
    </w:p>
    <w:p>
      <w:pPr>
        <w:jc w:val="center"/>
        <w:rPr>
          <w:b/>
          <w:szCs w:val="24"/>
        </w:rPr>
      </w:pPr>
    </w:p>
    <w:p>
      <w:pPr>
        <w:jc w:val="center"/>
        <w:rPr>
          <w:b/>
          <w:szCs w:val="24"/>
        </w:rPr>
      </w:pPr>
      <w:r>
        <w:rPr>
          <w:b/>
          <w:szCs w:val="24"/>
        </w:rPr>
        <w:t>II</w:t>
      </w:r>
      <w:r>
        <w:rPr>
          <w:b/>
          <w:szCs w:val="24"/>
        </w:rPr>
        <w:t xml:space="preserve"> SKYRIUS</w:t>
      </w:r>
    </w:p>
    <w:p>
      <w:pPr>
        <w:jc w:val="center"/>
        <w:rPr>
          <w:b/>
          <w:szCs w:val="24"/>
        </w:rPr>
      </w:pPr>
      <w:r>
        <w:rPr>
          <w:b/>
          <w:szCs w:val="24"/>
        </w:rPr>
        <w:t>LEIDIMŲ NAUDOTI RADIJO DAŽNIUS (KANALUS) IR (ARBA) STACIONARIĄSIAS RADIJO RYŠIO STOTIS IŠDAVIMO IR (ARBA) STACIONARIŲJŲ RADIJO RYŠIO STOČIŲ REGISTRAVIMO APRIBOJIMAI</w:t>
      </w:r>
    </w:p>
    <w:p>
      <w:pPr>
        <w:ind w:firstLine="851"/>
        <w:jc w:val="both"/>
        <w:rPr>
          <w:szCs w:val="24"/>
        </w:rPr>
      </w:pPr>
    </w:p>
    <w:p>
      <w:pPr>
        <w:ind w:firstLine="709"/>
        <w:jc w:val="both"/>
        <w:rPr>
          <w:sz w:val="20"/>
        </w:rPr>
      </w:pPr>
      <w:r>
        <w:rPr>
          <w:szCs w:val="24"/>
        </w:rPr>
        <w:t>3</w:t>
      </w:r>
      <w:r>
        <w:rPr>
          <w:szCs w:val="24"/>
        </w:rPr>
        <w:t xml:space="preserve">. Leidimas naudoti radijo dažnius (kanalus) ir (arba) stacionariąją radijo ryšio stotį negali būti išduodamas ir (arba) stacionarioji radijo ryšio stotis negali būti Tarnyboje užregistruojama, jei stacionariosios radijo ryšio stoties, kuriai veikti bus naudojami atitinkami radijo dažniai (kanalai), kuriai naudoti prašoma išduoti leidimą ar kurią prašoma užregistruoti, sukeliamo elektromagnetinio lauko stiprio elektrinės dedamosios stipris (toliau – elektromagnetinio lauko stipris) antenų aikštelėje viršys leistiną normą, apskaičiuotą pagal Taisyklių priedą (toliau – leistina norma).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738f72b011d111ebb74de75171d26d52">
        <w:r w:rsidRPr="00532B9F">
          <w:rPr>
            <w:rFonts w:ascii="Times New Roman" w:eastAsia="MS Mincho" w:hAnsi="Times New Roman"/>
            <w:sz w:val="20"/>
            <w:i/>
            <w:iCs/>
            <w:color w:val="0000FF" w:themeColor="hyperlink"/>
            <w:u w:val="single"/>
          </w:rPr>
          <w:t>(1.9E)1V-984</w:t>
        </w:r>
      </w:fldSimple>
      <w:r>
        <w:rPr>
          <w:rFonts w:ascii="Times New Roman" w:eastAsia="MS Mincho" w:hAnsi="Times New Roman"/>
          <w:sz w:val="20"/>
          <w:i/>
          <w:iCs/>
        </w:rPr>
        <w:t>,
2020-10-15,
paskelbta TAR 2020-10-19, i. k. 2020-21633            </w:t>
      </w:r>
    </w:p>
    <w:p/>
    <w:p>
      <w:pPr>
        <w:jc w:val="center"/>
        <w:rPr>
          <w:b/>
          <w:szCs w:val="24"/>
        </w:rPr>
      </w:pPr>
      <w:r>
        <w:rPr>
          <w:b/>
          <w:szCs w:val="24"/>
        </w:rPr>
        <w:t>III</w:t>
      </w:r>
      <w:r>
        <w:rPr>
          <w:b/>
          <w:szCs w:val="24"/>
        </w:rPr>
        <w:t xml:space="preserve"> SKYRIUS</w:t>
      </w:r>
    </w:p>
    <w:p>
      <w:pPr>
        <w:jc w:val="center"/>
        <w:rPr>
          <w:b/>
          <w:szCs w:val="24"/>
        </w:rPr>
      </w:pPr>
      <w:r>
        <w:rPr>
          <w:b/>
        </w:rPr>
        <w:t xml:space="preserve">STACIONARIŲJŲ RADIJO STEBĖSENOS </w:t>
      </w:r>
      <w:r>
        <w:rPr>
          <w:b/>
          <w:szCs w:val="24"/>
        </w:rPr>
        <w:t>STOČIŲ APLINKOJE VEIKIANČIŲ STACIONARIŲJŲ RADIJO RYŠIO STOČIŲ IŠKĖLIMO TVARKA</w:t>
      </w:r>
    </w:p>
    <w:p>
      <w:pPr>
        <w:jc w:val="center"/>
        <w:rPr>
          <w:b/>
          <w:szCs w:val="24"/>
        </w:rPr>
      </w:pPr>
    </w:p>
    <w:p>
      <w:pPr>
        <w:ind w:firstLine="680"/>
        <w:jc w:val="both"/>
        <w:rPr>
          <w:szCs w:val="24"/>
        </w:rPr>
      </w:pPr>
      <w:r>
        <w:rPr>
          <w:szCs w:val="24"/>
        </w:rPr>
        <w:t>4</w:t>
      </w:r>
      <w:r>
        <w:rPr>
          <w:szCs w:val="24"/>
        </w:rPr>
        <w:t>. Šiame skyriuje nustatyta stacionariųjų radijo ryšio stočių iškėlimo procedūra taikoma toms stacionariosioms radijo ryšio stotims, kurių sukeliamo elektromagnetinio lauko stipris antenų aikštelėje viršija leistiną normą ir dėl to atsiranda žalingųjų trukdžių stacionariosios radijo stebėsenos stoties darbui. Stacionariosioms radijo ryšio stotims, kurių sukeliamo elektromagnetinio lauko stipris viršija leistiną normą, bet nesukelia žalingųjų trukdžių stacionariosios radijo stebėsenos stoties darbui, šiame skyriuje nustatyta stacionariųjų radijo ryšio stočių iškėlimo procedūra netaikoma.</w:t>
      </w:r>
    </w:p>
    <w:p>
      <w:pPr>
        <w:ind w:firstLine="680"/>
        <w:jc w:val="both"/>
        <w:rPr>
          <w:szCs w:val="24"/>
        </w:rPr>
      </w:pPr>
      <w:r>
        <w:rPr>
          <w:szCs w:val="24"/>
        </w:rPr>
        <w:t>5</w:t>
      </w:r>
      <w:r>
        <w:rPr>
          <w:szCs w:val="24"/>
        </w:rPr>
        <w:t>. Iškėlimo procedūrą inicijuoja Tarnyba, motyvuotu raštu kreipdamasi į asmenį, kuriam išduotas leidimas naudoti radijo dažnius (kanalus), kuriais veikia iškeltina stacionarioji radijo ryšio stotis, (toliau – stacionariosios radijo ryšio stoties naudotojas) dėl atitinkamos stacionariosios radijo ryšio stoties iškėlimo.</w:t>
      </w:r>
    </w:p>
    <w:p>
      <w:pPr>
        <w:ind w:firstLine="680"/>
        <w:jc w:val="both"/>
        <w:rPr>
          <w:szCs w:val="24"/>
        </w:rPr>
      </w:pPr>
      <w:r>
        <w:rPr>
          <w:szCs w:val="24"/>
        </w:rPr>
        <w:t>6</w:t>
      </w:r>
      <w:r>
        <w:rPr>
          <w:szCs w:val="24"/>
        </w:rPr>
        <w:t>. Stacionariosios radijo ryšio stoties naudotojas per 3 mėnesius nuo Taisyklių 5 punkte nurodyto Tarnybos kreipimosi gavimo dienos turi pateikti Tarnybai stacionariosios radijo ryšio stoties iškėlimo planą. Stacionariosios radijo ryšio stoties iškėlimo plane turi būti nurodyta, į kurią vietą (adresas arba geografinės koordinatės) siūloma iškelti stacionariąją radijo ryšio stotį ir jos iškėlimo terminas.</w:t>
      </w:r>
    </w:p>
    <w:p>
      <w:pPr>
        <w:ind w:firstLine="680"/>
        <w:jc w:val="both"/>
        <w:rPr>
          <w:szCs w:val="24"/>
        </w:rPr>
      </w:pPr>
      <w:r>
        <w:rPr>
          <w:szCs w:val="24"/>
        </w:rPr>
        <w:t>7</w:t>
      </w:r>
      <w:r>
        <w:rPr>
          <w:szCs w:val="24"/>
        </w:rPr>
        <w:t>. Tarnyba ne vėliau kaip per 30 dienų nuo stacionariosios radijo ryšio stoties iškėlimo plano gavimo dienos priima vieną iš šiame punkte nurodytų sprendimų:</w:t>
      </w:r>
    </w:p>
    <w:p>
      <w:pPr>
        <w:ind w:firstLine="680"/>
        <w:jc w:val="both"/>
        <w:rPr>
          <w:szCs w:val="24"/>
        </w:rPr>
      </w:pPr>
      <w:r>
        <w:rPr>
          <w:szCs w:val="24"/>
        </w:rPr>
        <w:t>7.1</w:t>
      </w:r>
      <w:r>
        <w:rPr>
          <w:szCs w:val="24"/>
        </w:rPr>
        <w:t>. pritarti stacionariosios radijo ryšio stoties iškėlimo planui;</w:t>
      </w:r>
    </w:p>
    <w:p>
      <w:pPr>
        <w:ind w:firstLine="680"/>
        <w:jc w:val="both"/>
        <w:rPr>
          <w:szCs w:val="24"/>
        </w:rPr>
      </w:pPr>
      <w:r>
        <w:rPr>
          <w:szCs w:val="24"/>
        </w:rPr>
        <w:t>7.2</w:t>
      </w:r>
      <w:r>
        <w:rPr>
          <w:szCs w:val="24"/>
        </w:rPr>
        <w:t>. motyvuotai atmesti stacionariosios radijo ryšio stoties iškėlimo planą.</w:t>
      </w:r>
    </w:p>
    <w:p>
      <w:pPr>
        <w:ind w:firstLine="680"/>
        <w:jc w:val="both"/>
        <w:rPr>
          <w:szCs w:val="24"/>
        </w:rPr>
      </w:pPr>
      <w:r>
        <w:rPr>
          <w:szCs w:val="24"/>
        </w:rPr>
        <w:t>8</w:t>
      </w:r>
      <w:r>
        <w:rPr>
          <w:szCs w:val="24"/>
        </w:rPr>
        <w:t>. Tarnybai motyvuotai nusprendus atmesti stacionariosios radijo ryšio stoties iškėlimo planą, stacionariosios radijo ryšio stoties naudotojas per 30 dienų nuo Tarnybos sprendimo gavimo dienos turi pateikti Tarnybai naują stacionariosios radijo ryšio stoties iškėlimo planą. Sprendimas dėl pateikto naujo stacionariosios radijo ryšio stoties iškėlimo plano priimamas Taisyklių 7 punkte nustatyta tvarka. Tarnyba, motyvuotai nusprendusi atmesti pateiktą naują stacionariosios radijo ryšio stoties iškėlimo planą, ne vėliau kaip per 30 dienų nuo tokio sprendimo priėmimo dienos pati parengia stacionariosios radijo ryšio stoties iškėlimo planą.</w:t>
      </w:r>
    </w:p>
    <w:p>
      <w:pPr>
        <w:ind w:firstLine="680"/>
        <w:jc w:val="both"/>
        <w:rPr>
          <w:szCs w:val="24"/>
        </w:rPr>
      </w:pPr>
      <w:r>
        <w:rPr>
          <w:szCs w:val="24"/>
        </w:rPr>
        <w:t>9</w:t>
      </w:r>
      <w:r>
        <w:rPr>
          <w:szCs w:val="24"/>
        </w:rPr>
        <w:t>. Tarnyba, pritarusi stacionariosios radijo ryšio stoties iškėlimo planui arba pati jį parengusi, dėl stacionariosios radijo ryšio stoties iškėlimo plano ir, jei reikia, atitinkamo radijo dažnių (kanalų) naudojimo sąlygų pakeitimo konsultuojasi Viešo konsultavimosi taisyklėse, patvirtintose Tarnybos direktoriaus 2004 m. rugsėjo 16 d. įsakymu Nr. 1V-295 „Dėl Viešo konsultavimosi taisyklių patvirtinimo“, nustatyta tvarka ir sąlygomis.</w:t>
      </w:r>
    </w:p>
    <w:p>
      <w:pPr>
        <w:ind w:firstLine="680"/>
        <w:jc w:val="both"/>
        <w:rPr>
          <w:szCs w:val="24"/>
        </w:rPr>
      </w:pPr>
      <w:r>
        <w:rPr>
          <w:szCs w:val="24"/>
        </w:rPr>
        <w:t>10</w:t>
      </w:r>
      <w:r>
        <w:rPr>
          <w:szCs w:val="24"/>
        </w:rPr>
        <w:t>. Tarnyba, įvertinusi viešo konsultavimosi metu gautas motyvuotas suinteresuotų asmenų pastabas ir (ar) pasiūlymus dėl stacionariosios radijo ryšio stoties iškėlimo plano ir (ar) radijo dažnių (kanalų) naudojimo sąlygų pakeitimo:</w:t>
      </w:r>
    </w:p>
    <w:p>
      <w:pPr>
        <w:ind w:firstLine="680"/>
        <w:jc w:val="both"/>
        <w:rPr>
          <w:szCs w:val="24"/>
        </w:rPr>
      </w:pPr>
      <w:r>
        <w:rPr>
          <w:szCs w:val="24"/>
        </w:rPr>
        <w:t>10.1</w:t>
      </w:r>
      <w:r>
        <w:rPr>
          <w:szCs w:val="24"/>
        </w:rPr>
        <w:t>. priima sprendimą dėl stacionariosios radijo ryšio stoties iškėlimo plano patvirtinimo ir, jei reikia, atitinkamo radijo dažnių (kanalų) naudojimo sąlygų pakeitimo;</w:t>
      </w:r>
    </w:p>
    <w:p>
      <w:pPr>
        <w:ind w:firstLine="680"/>
        <w:jc w:val="both"/>
        <w:rPr>
          <w:szCs w:val="24"/>
        </w:rPr>
      </w:pPr>
      <w:r>
        <w:rPr>
          <w:szCs w:val="24"/>
        </w:rPr>
        <w:t>10.2</w:t>
      </w:r>
      <w:r>
        <w:rPr>
          <w:szCs w:val="24"/>
        </w:rPr>
        <w:t xml:space="preserve">. raštu kreipiasi į stacionariosios radijo ryšio stoties naudotoją dėl jo parengto stacionariosios radijo ryšio stoties iškėlimo plano patikslinimo arba patikslina savo parengtą stacionariosios radijo ryšio stoties iškėlimo planą ir pakartotinai konsultuojasi dėl patikslinto stacionariosios radijo ryšio stoties iškėlimo plano ir, jei reikia, atitinkamo radijo dažnių (kanalų) naudojimo sąlygų pakeitimo Taisyklių 9 punkte nustatyta tvarka ir sąlygomis. </w:t>
      </w:r>
    </w:p>
    <w:p>
      <w:pPr>
        <w:ind w:firstLine="680"/>
        <w:jc w:val="both"/>
        <w:rPr>
          <w:szCs w:val="24"/>
        </w:rPr>
      </w:pPr>
      <w:r>
        <w:rPr>
          <w:szCs w:val="24"/>
        </w:rPr>
        <w:t>11</w:t>
      </w:r>
      <w:r>
        <w:rPr>
          <w:szCs w:val="24"/>
        </w:rPr>
        <w:t>. Tarnyba ne vėliau kaip per 3 darbo dienas nuo sprendimo dėl stacionariosios radijo ryšio stoties iškėlimo plano patvirtinimo ir, jei reikia, atitinkamo radijo dažnių (kanalų) naudojimo sąlygų pakeitimo praneša apie tai stacionariosios radijo ryšio stoties naudotojui ir paskelbia Tarnybos sprendimą dėl stacionariosios radijo ryšio stoties iškėlimo plano patvirtinimo ir radijo dažnių (kanalų) naudojimo sąlygų pakeitimo, jei jos buvo keičiamos, Tarnybos interneto svetainėje adresu www.rrt.lt.</w:t>
      </w:r>
    </w:p>
    <w:p>
      <w:pPr>
        <w:ind w:firstLine="680"/>
        <w:jc w:val="both"/>
        <w:rPr>
          <w:szCs w:val="24"/>
        </w:rPr>
      </w:pPr>
      <w:r>
        <w:rPr>
          <w:szCs w:val="24"/>
        </w:rPr>
        <w:t>12</w:t>
      </w:r>
      <w:r>
        <w:rPr>
          <w:szCs w:val="24"/>
        </w:rPr>
        <w:t>. Stacionariosios radijo ryšio stoties iškėlimas vykdomas Tarnybos patvirtintame stacionariosios radijo ryšio stoties iškėlimo plane nustatyta tvarka ir sąlygomis.</w:t>
      </w:r>
    </w:p>
    <w:p>
      <w:pPr>
        <w:rPr>
          <w:sz w:val="20"/>
        </w:rPr>
      </w:pPr>
    </w:p>
    <w:p>
      <w:pPr>
        <w:jc w:val="center"/>
        <w:rPr>
          <w:b/>
          <w:szCs w:val="24"/>
        </w:rPr>
      </w:pPr>
      <w:r>
        <w:rPr>
          <w:b/>
          <w:szCs w:val="24"/>
        </w:rPr>
        <w:t>IV</w:t>
      </w:r>
      <w:r>
        <w:rPr>
          <w:b/>
          <w:szCs w:val="24"/>
        </w:rPr>
        <w:t xml:space="preserve"> SKYRIUS</w:t>
      </w:r>
    </w:p>
    <w:p>
      <w:pPr>
        <w:jc w:val="center"/>
        <w:rPr>
          <w:b/>
          <w:szCs w:val="24"/>
        </w:rPr>
      </w:pPr>
      <w:r>
        <w:rPr>
          <w:b/>
          <w:szCs w:val="24"/>
        </w:rPr>
        <w:t>BAIGIAMOSIOS NUOSTATOS</w:t>
      </w:r>
    </w:p>
    <w:p>
      <w:pPr>
        <w:ind w:firstLine="851"/>
        <w:jc w:val="both"/>
        <w:rPr>
          <w:szCs w:val="24"/>
        </w:rPr>
      </w:pPr>
    </w:p>
    <w:p>
      <w:pPr>
        <w:ind w:firstLine="680"/>
        <w:jc w:val="both"/>
        <w:rPr>
          <w:szCs w:val="24"/>
        </w:rPr>
      </w:pPr>
      <w:r>
        <w:rPr>
          <w:szCs w:val="24"/>
        </w:rPr>
        <w:t>13</w:t>
      </w:r>
      <w:r>
        <w:rPr>
          <w:szCs w:val="24"/>
        </w:rPr>
        <w:t>. Tarnybos veiksmai ar neveikimas, susiję su Taisyklių taikymu ir įgyvendinimu, gali būti skundžiami Lietuvos Respublikos teisės aktų nustatyta tvarka ir sąlygomis.</w:t>
      </w:r>
    </w:p>
    <w:p>
      <w:pPr>
        <w:ind w:firstLine="851"/>
        <w:jc w:val="both"/>
        <w:rPr>
          <w:szCs w:val="24"/>
        </w:rPr>
      </w:pPr>
    </w:p>
    <w:p>
      <w:pPr>
        <w:jc w:val="center"/>
      </w:pPr>
      <w:r>
        <w:rPr>
          <w:szCs w:val="24"/>
        </w:rPr>
        <w:t>_________________</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512b8a10e48511e68503b67e3b82e8bd">
        <w:r w:rsidRPr="00532B9F">
          <w:rPr>
            <w:rFonts w:ascii="Times New Roman" w:eastAsia="MS Mincho" w:hAnsi="Times New Roman"/>
            <w:sz w:val="20"/>
            <w:i/>
            <w:iCs/>
            <w:color w:val="0000FF" w:themeColor="hyperlink"/>
            <w:u w:val="single"/>
          </w:rPr>
          <w:t>1V-101</w:t>
        </w:r>
      </w:fldSimple>
      <w:r>
        <w:rPr>
          <w:rFonts w:ascii="Times New Roman" w:eastAsia="MS Mincho" w:hAnsi="Times New Roman"/>
          <w:sz w:val="20"/>
          <w:i/>
          <w:iCs/>
        </w:rPr>
        <w:t>,
2017-01-27,
paskelbta TAR 2017-01-27, i. k. 2017-01595            </w:t>
      </w:r>
    </w:p>
    <w:p/>
    <w:p>
      <w:pPr>
        <w:tabs>
          <w:tab w:val="left" w:pos="1080"/>
        </w:tabs>
        <w:ind w:left="5103"/>
        <w:jc w:val="both"/>
        <w:outlineLvl w:val="2"/>
        <w:sectPr>
          <w:headerReference w:type="even" r:id="rId21"/>
          <w:headerReference w:type="default" r:id="rId22"/>
          <w:footerReference w:type="even" r:id="rId23"/>
          <w:footerReference w:type="default" r:id="rId24"/>
          <w:headerReference w:type="first" r:id="rId25"/>
          <w:footerReference w:type="first" r:id="rId26"/>
          <w:pgSz w:w="11906" w:h="16838"/>
          <w:pgMar w:top="1134" w:right="567" w:bottom="1134" w:left="1701" w:header="709" w:footer="709" w:gutter="0"/>
          <w:cols w:space="708"/>
          <w:titlePg/>
          <w:docGrid w:linePitch="360"/>
        </w:sectPr>
      </w:pPr>
    </w:p>
    <w:p>
      <w:pPr>
        <w:tabs>
          <w:tab w:val="left" w:pos="1080"/>
        </w:tabs>
        <w:ind w:left="5103"/>
        <w:jc w:val="both"/>
        <w:outlineLvl w:val="2"/>
        <w:rPr>
          <w:kern w:val="28"/>
          <w:szCs w:val="24"/>
        </w:rPr>
      </w:pPr>
      <w:r>
        <w:rPr>
          <w:kern w:val="28"/>
          <w:szCs w:val="24"/>
        </w:rPr>
        <w:t xml:space="preserve">Lietuvos Respublikos ryšių reguliavimo </w:t>
      </w:r>
    </w:p>
    <w:p>
      <w:pPr>
        <w:tabs>
          <w:tab w:val="left" w:pos="1080"/>
        </w:tabs>
        <w:ind w:left="5103"/>
        <w:jc w:val="both"/>
        <w:outlineLvl w:val="2"/>
        <w:rPr>
          <w:kern w:val="28"/>
          <w:szCs w:val="24"/>
        </w:rPr>
      </w:pPr>
      <w:r>
        <w:rPr>
          <w:kern w:val="28"/>
          <w:szCs w:val="24"/>
        </w:rPr>
        <w:t xml:space="preserve">tarnybos stacionariųjų radijo stebėsenos stočių </w:t>
      </w:r>
    </w:p>
    <w:p>
      <w:pPr>
        <w:tabs>
          <w:tab w:val="left" w:pos="1080"/>
        </w:tabs>
        <w:ind w:left="5103"/>
        <w:jc w:val="both"/>
        <w:outlineLvl w:val="2"/>
        <w:rPr>
          <w:kern w:val="28"/>
          <w:szCs w:val="24"/>
        </w:rPr>
      </w:pPr>
      <w:r>
        <w:rPr>
          <w:kern w:val="28"/>
          <w:szCs w:val="24"/>
        </w:rPr>
        <w:t xml:space="preserve">apsaugos nuo stiprių elektromagnetinių laukų, </w:t>
      </w:r>
    </w:p>
    <w:p>
      <w:pPr>
        <w:tabs>
          <w:tab w:val="left" w:pos="1080"/>
        </w:tabs>
        <w:ind w:left="5103"/>
        <w:jc w:val="both"/>
        <w:outlineLvl w:val="2"/>
        <w:rPr>
          <w:kern w:val="28"/>
          <w:szCs w:val="24"/>
        </w:rPr>
      </w:pPr>
      <w:r>
        <w:rPr>
          <w:kern w:val="28"/>
          <w:szCs w:val="24"/>
        </w:rPr>
        <w:t xml:space="preserve">sukeliamų jų aplinkoje veikiančių radijo ryšio </w:t>
      </w:r>
    </w:p>
    <w:p>
      <w:pPr>
        <w:tabs>
          <w:tab w:val="left" w:pos="1080"/>
        </w:tabs>
        <w:ind w:left="5103"/>
        <w:jc w:val="both"/>
        <w:outlineLvl w:val="2"/>
        <w:rPr>
          <w:kern w:val="28"/>
          <w:szCs w:val="24"/>
        </w:rPr>
      </w:pPr>
      <w:r>
        <w:rPr>
          <w:kern w:val="28"/>
          <w:szCs w:val="24"/>
        </w:rPr>
        <w:t>stočių, taisyklių</w:t>
      </w:r>
    </w:p>
    <w:p>
      <w:pPr>
        <w:ind w:left="5103"/>
        <w:jc w:val="both"/>
        <w:rPr>
          <w:szCs w:val="24"/>
        </w:rPr>
      </w:pPr>
      <w:r>
        <w:rPr>
          <w:szCs w:val="24"/>
        </w:rPr>
        <w:t>priedas</w:t>
      </w:r>
    </w:p>
    <w:p>
      <w:pPr>
        <w:ind w:firstLine="851"/>
        <w:jc w:val="both"/>
        <w:rPr>
          <w:b/>
          <w:bCs/>
          <w:szCs w:val="24"/>
        </w:rPr>
      </w:pPr>
    </w:p>
    <w:p>
      <w:pPr>
        <w:jc w:val="center"/>
        <w:rPr>
          <w:b/>
          <w:bCs/>
        </w:rPr>
      </w:pPr>
      <w:r>
        <w:rPr>
          <w:b/>
          <w:bCs/>
        </w:rPr>
        <w:t>RADIJO RYŠIO STOTIES SUKELIAMO ELEKTROMAGNETINIO LAUKO STIPRIO LEISTINOS NORMOS APSKAIČIAVIMAS</w:t>
      </w:r>
    </w:p>
    <w:p>
      <w:pPr>
        <w:ind w:firstLine="312"/>
        <w:jc w:val="both"/>
        <w:rPr>
          <w:bCs/>
        </w:rPr>
      </w:pPr>
    </w:p>
    <w:p>
      <w:pPr>
        <w:ind w:firstLine="567"/>
        <w:jc w:val="both"/>
        <w:rPr>
          <w:bCs/>
        </w:rPr>
      </w:pPr>
      <w:r>
        <w:rPr>
          <w:bCs/>
        </w:rPr>
        <w:t>1</w:t>
      </w:r>
      <w:r>
        <w:rPr>
          <w:bCs/>
        </w:rPr>
        <w:t>. Didžiausias leistinas radijo ryšio stoties sukeliamo elektromagnetinio lauko elektrinės dedamosios stipris antenų aikštelėje apskaičiuojamas pagal bendrąją formulę:</w:t>
      </w:r>
    </w:p>
    <w:p>
      <w:pPr>
        <w:rPr>
          <w:sz w:val="20"/>
        </w:rPr>
      </w:pPr>
    </w:p>
    <w:p>
      <w:pPr>
        <w:rPr>
          <w:bCs/>
        </w:rPr>
      </w:pPr>
      <m:oMath>
        <m:sSub>
          <m:sSubPr>
            <m:ctrlPr>
              <w:rPr>
                <w:rFonts w:ascii="Cambria Math" w:hAnsi="Cambria Math"/>
                <w:bCs/>
                <w:i/>
                <w:color w:val="000000" w:themeColor="text1"/>
                <w:sz w:val="22"/>
                <w:szCs w:val="22"/>
              </w:rPr>
            </m:ctrlPr>
          </m:sSubPr>
          <m:e>
            <m:r>
              <w:rPr>
                <w:rFonts w:ascii="Cambria Math" w:hAnsi="Cambria Math"/>
                <w:color w:val="000000" w:themeColor="text1"/>
                <w:sz w:val="22"/>
                <w:szCs w:val="22"/>
              </w:rPr>
              <m:t>E</m:t>
            </m:r>
          </m:e>
          <m:sub>
            <m:r>
              <w:rPr>
                <w:rFonts w:ascii="Cambria Math" w:hAnsi="Cambria Math"/>
                <w:color w:val="000000" w:themeColor="text1"/>
                <w:sz w:val="22"/>
                <w:szCs w:val="22"/>
              </w:rPr>
              <m:t>max</m:t>
            </m:r>
          </m:sub>
        </m:sSub>
        <m:d>
          <m:dPr>
            <m:ctrlPr>
              <w:rPr>
                <w:rFonts w:ascii="Cambria Math" w:hAnsi="Cambria Math"/>
                <w:bCs/>
                <w:i/>
                <w:color w:val="000000" w:themeColor="text1"/>
                <w:sz w:val="22"/>
                <w:szCs w:val="22"/>
              </w:rPr>
            </m:ctrlPr>
          </m:dPr>
          <m:e>
            <m:r>
              <w:rPr>
                <w:rFonts w:ascii="Cambria Math" w:hAnsi="Cambria Math"/>
                <w:color w:val="000000" w:themeColor="text1"/>
                <w:sz w:val="22"/>
                <w:szCs w:val="22"/>
              </w:rPr>
              <m:t>dBμV/m</m:t>
            </m:r>
          </m:e>
        </m:d>
        <m:r>
          <w:rPr>
            <w:rFonts w:ascii="Cambria Math" w:hAnsi="Cambria Math"/>
            <w:color w:val="000000" w:themeColor="text1"/>
            <w:sz w:val="22"/>
            <w:szCs w:val="22"/>
          </w:rPr>
          <m:t>=</m:t>
        </m:r>
        <m:f>
          <m:fPr>
            <m:ctrlPr>
              <w:rPr>
                <w:rFonts w:ascii="Cambria Math" w:hAnsi="Cambria Math"/>
                <w:bCs/>
                <w:i/>
                <w:color w:val="000000" w:themeColor="text1"/>
                <w:sz w:val="22"/>
                <w:szCs w:val="22"/>
                <w:lang w:val="en-US"/>
              </w:rPr>
            </m:ctrlPr>
          </m:fPr>
          <m:num>
            <m:r>
              <w:rPr>
                <w:rFonts w:ascii="Cambria Math" w:hAnsi="Cambria Math"/>
                <w:color w:val="000000" w:themeColor="text1"/>
                <w:sz w:val="22"/>
                <w:szCs w:val="22"/>
              </w:rPr>
              <m:t>2</m:t>
            </m:r>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P</m:t>
                </m:r>
              </m:e>
              <m:sub>
                <m:r>
                  <w:rPr>
                    <w:rFonts w:ascii="Cambria Math" w:hAnsi="Cambria Math"/>
                    <w:color w:val="000000" w:themeColor="text1"/>
                    <w:sz w:val="22"/>
                    <w:szCs w:val="22"/>
                  </w:rPr>
                  <m:t>IP3</m:t>
                </m:r>
              </m:sub>
            </m:sSub>
            <m:d>
              <m:dPr>
                <m:ctrlPr>
                  <w:rPr>
                    <w:rFonts w:ascii="Cambria Math" w:hAnsi="Cambria Math"/>
                    <w:i/>
                    <w:color w:val="000000" w:themeColor="text1"/>
                    <w:sz w:val="22"/>
                    <w:szCs w:val="22"/>
                  </w:rPr>
                </m:ctrlPr>
              </m:dPr>
              <m:e>
                <m:r>
                  <w:rPr>
                    <w:rFonts w:ascii="Cambria Math" w:hAnsi="Cambria Math"/>
                    <w:color w:val="000000" w:themeColor="text1"/>
                    <w:sz w:val="22"/>
                    <w:szCs w:val="22"/>
                  </w:rPr>
                  <m:t>dBm</m:t>
                </m:r>
              </m:e>
            </m:d>
            <m:r>
              <w:rPr>
                <w:rFonts w:ascii="Cambria Math" w:hAnsi="Cambria Math"/>
                <w:color w:val="000000" w:themeColor="text1"/>
                <w:sz w:val="22"/>
                <w:szCs w:val="22"/>
              </w:rPr>
              <m:t>+NF</m:t>
            </m:r>
            <m:d>
              <m:dPr>
                <m:ctrlPr>
                  <w:rPr>
                    <w:rFonts w:ascii="Cambria Math" w:hAnsi="Cambria Math"/>
                    <w:i/>
                    <w:color w:val="000000" w:themeColor="text1"/>
                    <w:sz w:val="22"/>
                    <w:szCs w:val="22"/>
                  </w:rPr>
                </m:ctrlPr>
              </m:dPr>
              <m:e>
                <m:r>
                  <w:rPr>
                    <w:rFonts w:ascii="Cambria Math" w:hAnsi="Cambria Math"/>
                    <w:color w:val="000000" w:themeColor="text1"/>
                    <w:sz w:val="22"/>
                    <w:szCs w:val="22"/>
                  </w:rPr>
                  <m:t>dB</m:t>
                </m:r>
              </m:e>
            </m:d>
            <m:r>
              <w:rPr>
                <w:rFonts w:ascii="Cambria Math" w:hAnsi="Cambria Math"/>
                <w:color w:val="000000" w:themeColor="text1"/>
                <w:sz w:val="22"/>
                <w:szCs w:val="22"/>
              </w:rPr>
              <m:t>+10log</m:t>
            </m:r>
            <m:sSub>
              <m:sSubPr>
                <m:ctrlPr>
                  <w:rPr>
                    <w:rFonts w:ascii="Cambria Math" w:hAnsi="Cambria Math"/>
                    <w:bCs/>
                    <w:i/>
                    <w:color w:val="000000" w:themeColor="text1"/>
                    <w:sz w:val="22"/>
                    <w:szCs w:val="22"/>
                    <w:lang w:val="en-US"/>
                  </w:rPr>
                </m:ctrlPr>
              </m:sSubPr>
              <m:e>
                <m:r>
                  <w:rPr>
                    <w:rFonts w:ascii="Cambria Math" w:hAnsi="Cambria Math"/>
                    <w:color w:val="000000" w:themeColor="text1"/>
                    <w:sz w:val="22"/>
                    <w:szCs w:val="22"/>
                  </w:rPr>
                  <m:t>B</m:t>
                </m:r>
              </m:e>
              <m:sub>
                <m:r>
                  <w:rPr>
                    <w:rFonts w:ascii="Cambria Math" w:hAnsi="Cambria Math"/>
                    <w:color w:val="000000" w:themeColor="text1"/>
                    <w:sz w:val="22"/>
                    <w:szCs w:val="22"/>
                  </w:rPr>
                  <m:t xml:space="preserve">s </m:t>
                </m:r>
              </m:sub>
            </m:sSub>
            <m:d>
              <m:dPr>
                <m:ctrlPr>
                  <w:rPr>
                    <w:rFonts w:ascii="Cambria Math" w:hAnsi="Cambria Math"/>
                    <w:bCs/>
                    <w:i/>
                    <w:color w:val="000000" w:themeColor="text1"/>
                    <w:sz w:val="22"/>
                    <w:szCs w:val="22"/>
                    <w:lang w:val="en-US"/>
                  </w:rPr>
                </m:ctrlPr>
              </m:dPr>
              <m:e>
                <m:r>
                  <w:rPr>
                    <w:rFonts w:ascii="Cambria Math" w:hAnsi="Cambria Math"/>
                    <w:color w:val="000000" w:themeColor="text1"/>
                    <w:sz w:val="22"/>
                    <w:szCs w:val="22"/>
                  </w:rPr>
                  <m:t>Hz</m:t>
                </m:r>
              </m:e>
            </m:d>
          </m:num>
          <m:den>
            <m:r>
              <w:rPr>
                <w:rFonts w:ascii="Cambria Math" w:hAnsi="Cambria Math"/>
                <w:color w:val="000000" w:themeColor="text1"/>
                <w:sz w:val="22"/>
                <w:szCs w:val="22"/>
              </w:rPr>
              <m:t>3</m:t>
            </m:r>
          </m:den>
        </m:f>
        <m:r>
          <w:rPr>
            <w:rFonts w:ascii="Cambria Math" w:hAnsi="Cambria Math"/>
            <w:color w:val="000000" w:themeColor="text1"/>
            <w:sz w:val="22"/>
            <w:szCs w:val="22"/>
          </w:rPr>
          <m:t>+20logf</m:t>
        </m:r>
        <m:d>
          <m:dPr>
            <m:ctrlPr>
              <w:rPr>
                <w:rFonts w:ascii="Cambria Math" w:hAnsi="Cambria Math"/>
                <w:bCs/>
                <w:i/>
                <w:color w:val="000000" w:themeColor="text1"/>
                <w:sz w:val="22"/>
                <w:szCs w:val="22"/>
                <w:lang w:val="en-US"/>
              </w:rPr>
            </m:ctrlPr>
          </m:dPr>
          <m:e>
            <m:r>
              <w:rPr>
                <w:rFonts w:ascii="Cambria Math" w:hAnsi="Cambria Math"/>
                <w:color w:val="000000" w:themeColor="text1"/>
                <w:sz w:val="22"/>
                <w:szCs w:val="22"/>
              </w:rPr>
              <m:t>MHz</m:t>
            </m:r>
          </m:e>
        </m:d>
        <m:r>
          <w:rPr>
            <w:rFonts w:ascii="Cambria Math" w:hAnsi="Cambria Math"/>
            <w:color w:val="000000" w:themeColor="text1"/>
            <w:sz w:val="22"/>
            <w:szCs w:val="22"/>
          </w:rPr>
          <m:t>-</m:t>
        </m:r>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G</m:t>
            </m:r>
          </m:e>
          <m:sub>
            <m:r>
              <w:rPr>
                <w:rFonts w:ascii="Cambria Math" w:hAnsi="Cambria Math"/>
                <w:color w:val="000000" w:themeColor="text1"/>
                <w:sz w:val="22"/>
                <w:szCs w:val="22"/>
              </w:rPr>
              <m:t>i</m:t>
            </m:r>
          </m:sub>
        </m:sSub>
        <m:d>
          <m:dPr>
            <m:ctrlPr>
              <w:rPr>
                <w:rFonts w:ascii="Cambria Math" w:hAnsi="Cambria Math"/>
                <w:i/>
                <w:color w:val="000000" w:themeColor="text1"/>
                <w:sz w:val="22"/>
                <w:szCs w:val="22"/>
              </w:rPr>
            </m:ctrlPr>
          </m:dPr>
          <m:e>
            <m:r>
              <w:rPr>
                <w:rFonts w:ascii="Cambria Math" w:hAnsi="Cambria Math"/>
                <w:color w:val="000000" w:themeColor="text1"/>
                <w:sz w:val="22"/>
                <w:szCs w:val="22"/>
              </w:rPr>
              <m:t>dB</m:t>
            </m:r>
          </m:e>
        </m:d>
        <m:r>
          <w:rPr>
            <w:rFonts w:ascii="Cambria Math" w:hAnsi="Cambria Math"/>
            <w:color w:val="000000" w:themeColor="text1"/>
            <w:sz w:val="22"/>
            <w:szCs w:val="22"/>
          </w:rPr>
          <m:t>+</m:t>
        </m:r>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α</m:t>
            </m:r>
          </m:e>
          <m:sub>
            <m:r>
              <w:rPr>
                <w:rFonts w:ascii="Cambria Math" w:hAnsi="Cambria Math"/>
                <w:color w:val="000000" w:themeColor="text1"/>
                <w:sz w:val="22"/>
                <w:szCs w:val="22"/>
              </w:rPr>
              <m:t>C</m:t>
            </m:r>
          </m:sub>
        </m:sSub>
        <m:r>
          <w:rPr>
            <w:rFonts w:ascii="Cambria Math" w:hAnsi="Cambria Math"/>
            <w:color w:val="000000" w:themeColor="text1"/>
            <w:sz w:val="22"/>
            <w:szCs w:val="22"/>
          </w:rPr>
          <m:t>(dB)+18,6 d</m:t>
        </m:r>
      </m:oMath>
      <w:r>
        <w:rPr>
          <w:color w:val="000000"/>
          <w:sz w:val="20"/>
        </w:rPr>
        <w:t>B,</w:t>
      </w:r>
    </w:p>
    <w:p>
      <w:pPr>
        <w:rPr>
          <w:sz w:val="20"/>
        </w:rPr>
      </w:pPr>
    </w:p>
    <w:p>
      <w:pPr>
        <w:ind w:firstLine="567"/>
        <w:jc w:val="both"/>
      </w:pPr>
      <w:r>
        <w:t>kur:</w:t>
      </w:r>
    </w:p>
    <w:p>
      <w:pPr>
        <w:ind w:firstLine="567"/>
        <w:jc w:val="both"/>
      </w:pPr>
      <w:r>
        <w:rPr>
          <w:i/>
        </w:rPr>
        <w:t>P</w:t>
      </w:r>
      <w:r>
        <w:rPr>
          <w:i/>
          <w:vertAlign w:val="subscript"/>
        </w:rPr>
        <w:t>IP3</w:t>
      </w:r>
      <w:r>
        <w:t xml:space="preserve"> – stacionariosios radijo stebėsenos stoties matavimo imtuvo trečios eilės susikirtimo taškas; </w:t>
      </w:r>
    </w:p>
    <w:p>
      <w:pPr>
        <w:ind w:firstLine="567"/>
        <w:jc w:val="both"/>
      </w:pPr>
      <w:r>
        <w:rPr>
          <w:i/>
        </w:rPr>
        <w:t>NF</w:t>
      </w:r>
      <w:r>
        <w:t xml:space="preserve"> – stacionariosios radijo stebėsenos stoties matavimo imtuvo triukšmo koeficientas;</w:t>
      </w:r>
    </w:p>
    <w:p>
      <w:pPr>
        <w:ind w:firstLine="567"/>
        <w:jc w:val="both"/>
      </w:pPr>
      <w:r>
        <w:rPr>
          <w:i/>
        </w:rPr>
        <w:t>B</w:t>
      </w:r>
      <w:r>
        <w:rPr>
          <w:i/>
          <w:vertAlign w:val="subscript"/>
        </w:rPr>
        <w:t>S</w:t>
      </w:r>
      <w:r>
        <w:t xml:space="preserve"> – </w:t>
      </w:r>
      <w:r>
        <w:rPr>
          <w:szCs w:val="24"/>
        </w:rPr>
        <w:t xml:space="preserve">stacionariosios </w:t>
      </w:r>
      <w:r>
        <w:t>radijo ryšio stoties radijo signalo, kurio elektromagnetinio lauko stipris yra skaičiuojamas, juostos plotis;</w:t>
      </w:r>
    </w:p>
    <w:p>
      <w:pPr>
        <w:ind w:firstLine="567"/>
        <w:jc w:val="both"/>
      </w:pPr>
      <w:r>
        <w:rPr>
          <w:i/>
        </w:rPr>
        <w:t xml:space="preserve">f </w:t>
      </w:r>
      <w:r>
        <w:t xml:space="preserve">– </w:t>
      </w:r>
      <w:r>
        <w:rPr>
          <w:szCs w:val="24"/>
        </w:rPr>
        <w:t xml:space="preserve">stacionariosios </w:t>
      </w:r>
      <w:r>
        <w:t xml:space="preserve">radijo ryšio stoties radijo signalo centrinis dažnis; </w:t>
      </w:r>
    </w:p>
    <w:p>
      <w:pPr>
        <w:ind w:firstLine="567"/>
        <w:jc w:val="both"/>
        <w:rPr>
          <w:color w:val="000000"/>
        </w:rPr>
      </w:pPr>
      <w:r>
        <w:rPr>
          <w:i/>
        </w:rPr>
        <w:t>G</w:t>
      </w:r>
      <w:r>
        <w:rPr>
          <w:i/>
          <w:vertAlign w:val="subscript"/>
        </w:rPr>
        <w:t>i</w:t>
      </w:r>
      <w:r>
        <w:t xml:space="preserve"> – stacionariosios radijo stebėsenos stoties antenos stiprinimo koeficientas </w:t>
      </w:r>
      <w:r>
        <w:rPr>
          <w:color w:val="000000"/>
        </w:rPr>
        <w:t>izotropinės antenos atžvilgiu;</w:t>
      </w:r>
    </w:p>
    <w:p>
      <w:pPr>
        <w:ind w:firstLine="567"/>
        <w:jc w:val="both"/>
        <w:rPr>
          <w:color w:val="000000"/>
        </w:rPr>
      </w:pPr>
      <w:r>
        <w:rPr>
          <w:rFonts w:ascii="Calibri" w:hAnsi="Calibri" w:cs="Calibri"/>
          <w:color w:val="000000"/>
        </w:rPr>
        <w:t>α</w:t>
      </w:r>
      <w:r>
        <w:rPr>
          <w:color w:val="000000"/>
          <w:vertAlign w:val="subscript"/>
        </w:rPr>
        <w:t>C</w:t>
      </w:r>
      <w:r>
        <w:rPr>
          <w:color w:val="000000"/>
        </w:rPr>
        <w:t xml:space="preserve"> – stacionariosios radijo stebėsenos stoties antenos maitintuvo slopinimas.</w:t>
      </w:r>
    </w:p>
    <w:p>
      <w:pPr>
        <w:ind w:firstLine="567"/>
        <w:jc w:val="both"/>
        <w:rPr>
          <w:i/>
          <w:sz w:val="32"/>
          <w:szCs w:val="24"/>
        </w:rPr>
      </w:pPr>
    </w:p>
    <w:p>
      <w:pPr>
        <w:ind w:firstLine="567"/>
        <w:jc w:val="both"/>
        <w:rPr>
          <w:rFonts w:ascii="TimesLT" w:hAnsi="TimesLT"/>
          <w:bCs/>
          <w:color w:val="000000"/>
          <w:szCs w:val="24"/>
        </w:rPr>
      </w:pPr>
      <w:r>
        <w:rPr>
          <w:rFonts w:ascii="TimesLT" w:hAnsi="TimesLT"/>
          <w:bCs/>
          <w:szCs w:val="24"/>
        </w:rPr>
        <w:t>2</w:t>
      </w:r>
      <w:r>
        <w:rPr>
          <w:rFonts w:ascii="TimesLT" w:hAnsi="TimesLT"/>
          <w:bCs/>
          <w:szCs w:val="24"/>
        </w:rPr>
        <w:t xml:space="preserve">. </w:t>
      </w:r>
      <w:r>
        <w:rPr>
          <w:rFonts w:ascii="TimesLT" w:hAnsi="TimesLT"/>
          <w:bCs/>
          <w:color w:val="000000"/>
          <w:szCs w:val="24"/>
        </w:rPr>
        <w:t>Tarnyba didžiausią leistiną radijo ryšio stoties sukeliamo elektromagnetinio lauko elektrinės dedamosios stiprį antenų aikštelėje apskaičiuoja pagal šio priedo 1 punkte pateiktą formulę taikydama šias reikšmes ir formules:</w:t>
      </w:r>
    </w:p>
    <w:p>
      <w:pPr>
        <w:ind w:firstLine="567"/>
        <w:jc w:val="both"/>
        <w:rPr>
          <w:rFonts w:ascii="TimesLT" w:hAnsi="TimesLT"/>
          <w:bCs/>
          <w:color w:val="000000"/>
          <w:szCs w:val="24"/>
        </w:rPr>
      </w:pPr>
      <w:r>
        <w:rPr>
          <w:rFonts w:ascii="TimesLT" w:hAnsi="TimesLT"/>
          <w:bCs/>
          <w:color w:val="000000"/>
          <w:szCs w:val="24"/>
        </w:rPr>
        <w:t>2.1</w:t>
      </w:r>
      <w:r>
        <w:rPr>
          <w:rFonts w:ascii="TimesLT" w:hAnsi="TimesLT"/>
          <w:bCs/>
          <w:color w:val="000000"/>
          <w:szCs w:val="24"/>
        </w:rPr>
        <w:t xml:space="preserve">. radijo dažnių ruože iki 650 MHz: </w:t>
      </w:r>
      <w:r>
        <w:rPr>
          <w:rFonts w:ascii="TimesLT" w:hAnsi="TimesLT"/>
          <w:i/>
          <w:color w:val="000000"/>
          <w:szCs w:val="24"/>
        </w:rPr>
        <w:t>P</w:t>
      </w:r>
      <w:r>
        <w:rPr>
          <w:rFonts w:ascii="TimesLT" w:hAnsi="TimesLT"/>
          <w:i/>
          <w:color w:val="000000"/>
          <w:szCs w:val="24"/>
          <w:vertAlign w:val="subscript"/>
        </w:rPr>
        <w:t xml:space="preserve">IP3 </w:t>
      </w:r>
      <w:r>
        <w:rPr>
          <w:rFonts w:ascii="TimesLT" w:hAnsi="TimesLT"/>
          <w:iCs/>
          <w:color w:val="000000"/>
          <w:szCs w:val="24"/>
        </w:rPr>
        <w:t xml:space="preserve">= 10 dBm, </w:t>
      </w:r>
      <w:r>
        <w:rPr>
          <w:rFonts w:ascii="TimesLT" w:hAnsi="TimesLT"/>
          <w:i/>
          <w:color w:val="000000"/>
          <w:szCs w:val="24"/>
        </w:rPr>
        <w:t xml:space="preserve">NF </w:t>
      </w:r>
      <w:r>
        <w:rPr>
          <w:rFonts w:ascii="TimesLT" w:hAnsi="TimesLT"/>
          <w:iCs/>
          <w:color w:val="000000"/>
          <w:szCs w:val="24"/>
        </w:rPr>
        <w:t>= 10 dB,</w:t>
      </w:r>
      <w:r>
        <w:rPr>
          <w:rFonts w:ascii="TimesLT" w:hAnsi="TimesLT"/>
          <w:i/>
          <w:color w:val="000000"/>
          <w:szCs w:val="24"/>
        </w:rPr>
        <w:t xml:space="preserve"> G</w:t>
      </w:r>
      <w:r>
        <w:rPr>
          <w:rFonts w:ascii="TimesLT" w:hAnsi="TimesLT"/>
          <w:i/>
          <w:color w:val="000000"/>
          <w:szCs w:val="24"/>
          <w:vertAlign w:val="subscript"/>
        </w:rPr>
        <w:t xml:space="preserve">i </w:t>
      </w:r>
      <w:r>
        <w:rPr>
          <w:rFonts w:ascii="TimesLT" w:hAnsi="TimesLT"/>
          <w:iCs/>
          <w:color w:val="000000"/>
          <w:szCs w:val="24"/>
        </w:rPr>
        <w:t xml:space="preserve">= 6,5 dB, </w:t>
      </w:r>
      <w:r>
        <w:rPr>
          <w:rFonts w:ascii="TimesLT" w:hAnsi="TimesLT"/>
          <w:bCs/>
          <w:color w:val="000000"/>
          <w:szCs w:val="24"/>
        </w:rPr>
        <w:t>t. y.</w:t>
      </w:r>
    </w:p>
    <w:p>
      <w:pPr>
        <w:rPr>
          <w:sz w:val="20"/>
        </w:rPr>
      </w:pPr>
    </w:p>
    <w:p>
      <w:pPr>
        <w:ind w:firstLine="1440"/>
        <w:jc w:val="right"/>
        <w:rPr>
          <w:bCs/>
          <w:color w:val="000000"/>
          <w:szCs w:val="24"/>
        </w:rPr>
      </w:pPr>
      <m:oMathPara>
        <m:oMathParaPr>
          <m:jc m:val="left"/>
        </m:oMathParaPr>
        <m:oMath>
          <m:sSub>
            <m:sSubPr>
              <m:ctrlPr>
                <w:rPr>
                  <w:rFonts w:ascii="Cambria Math" w:hAnsi="Cambria Math"/>
                  <w:bCs/>
                  <w:i/>
                  <w:color w:val="000000" w:themeColor="text1"/>
                  <w:szCs w:val="24"/>
                </w:rPr>
              </m:ctrlPr>
            </m:sSubPr>
            <m:e>
              <m:r>
                <w:rPr>
                  <w:rFonts w:ascii="Cambria Math" w:hAnsi="Cambria Math"/>
                  <w:color w:val="000000" w:themeColor="text1"/>
                  <w:szCs w:val="24"/>
                </w:rPr>
                <m:t>E</m:t>
              </m:r>
            </m:e>
            <m:sub>
              <m:r>
                <w:rPr>
                  <w:rFonts w:ascii="Cambria Math" w:hAnsi="Cambria Math"/>
                  <w:color w:val="000000" w:themeColor="text1"/>
                  <w:szCs w:val="24"/>
                </w:rPr>
                <m:t>max</m:t>
              </m:r>
            </m:sub>
          </m:sSub>
          <m:d>
            <m:dPr>
              <m:ctrlPr>
                <w:rPr>
                  <w:rFonts w:ascii="Cambria Math" w:hAnsi="Cambria Math"/>
                  <w:bCs/>
                  <w:i/>
                  <w:color w:val="000000" w:themeColor="text1"/>
                  <w:szCs w:val="24"/>
                </w:rPr>
              </m:ctrlPr>
            </m:dPr>
            <m:e>
              <m:r>
                <w:rPr>
                  <w:rFonts w:ascii="Cambria Math" w:hAnsi="Cambria Math"/>
                  <w:color w:val="000000" w:themeColor="text1"/>
                  <w:szCs w:val="24"/>
                </w:rPr>
                <m:t>dBμV/m</m:t>
              </m:r>
            </m:e>
          </m:d>
          <m:r>
            <w:rPr>
              <w:rFonts w:ascii="Cambria Math" w:hAnsi="Cambria Math"/>
              <w:color w:val="000000" w:themeColor="text1"/>
              <w:szCs w:val="24"/>
            </w:rPr>
            <m:t>=</m:t>
          </m:r>
          <m:f>
            <m:fPr>
              <m:ctrlPr>
                <w:rPr>
                  <w:rFonts w:ascii="Cambria Math" w:hAnsi="Cambria Math"/>
                  <w:bCs/>
                  <w:i/>
                  <w:color w:val="000000" w:themeColor="text1"/>
                  <w:szCs w:val="24"/>
                  <w:lang w:val="en-US"/>
                </w:rPr>
              </m:ctrlPr>
            </m:fPr>
            <m:num>
              <m:r>
                <w:rPr>
                  <w:rFonts w:ascii="Cambria Math" w:hAnsi="Cambria Math"/>
                  <w:color w:val="000000" w:themeColor="text1"/>
                  <w:szCs w:val="24"/>
                </w:rPr>
                <m:t>10log</m:t>
              </m:r>
              <m:sSub>
                <m:sSubPr>
                  <m:ctrlPr>
                    <w:rPr>
                      <w:rFonts w:ascii="Cambria Math" w:hAnsi="Cambria Math"/>
                      <w:bCs/>
                      <w:i/>
                      <w:color w:val="000000" w:themeColor="text1"/>
                      <w:szCs w:val="24"/>
                      <w:lang w:val="en-US"/>
                    </w:rPr>
                  </m:ctrlPr>
                </m:sSubPr>
                <m:e>
                  <m:r>
                    <w:rPr>
                      <w:rFonts w:ascii="Cambria Math" w:hAnsi="Cambria Math"/>
                      <w:color w:val="000000" w:themeColor="text1"/>
                      <w:szCs w:val="24"/>
                    </w:rPr>
                    <m:t>B</m:t>
                  </m:r>
                </m:e>
                <m:sub>
                  <m:r>
                    <w:rPr>
                      <w:rFonts w:ascii="Cambria Math" w:hAnsi="Cambria Math"/>
                      <w:color w:val="000000" w:themeColor="text1"/>
                      <w:szCs w:val="24"/>
                    </w:rPr>
                    <m:t xml:space="preserve">s </m:t>
                  </m:r>
                </m:sub>
              </m:sSub>
              <m:d>
                <m:dPr>
                  <m:ctrlPr>
                    <w:rPr>
                      <w:rFonts w:ascii="Cambria Math" w:hAnsi="Cambria Math"/>
                      <w:bCs/>
                      <w:i/>
                      <w:color w:val="000000" w:themeColor="text1"/>
                      <w:szCs w:val="24"/>
                      <w:lang w:val="en-US"/>
                    </w:rPr>
                  </m:ctrlPr>
                </m:dPr>
                <m:e>
                  <m:r>
                    <w:rPr>
                      <w:rFonts w:ascii="Cambria Math" w:hAnsi="Cambria Math"/>
                      <w:color w:val="000000" w:themeColor="text1"/>
                      <w:szCs w:val="24"/>
                    </w:rPr>
                    <m:t>Hz</m:t>
                  </m:r>
                </m:e>
              </m:d>
            </m:num>
            <m:den>
              <m:r>
                <w:rPr>
                  <w:rFonts w:ascii="Cambria Math" w:hAnsi="Cambria Math"/>
                  <w:color w:val="000000" w:themeColor="text1"/>
                  <w:szCs w:val="24"/>
                </w:rPr>
                <m:t>3</m:t>
              </m:r>
            </m:den>
          </m:f>
          <m:r>
            <w:rPr>
              <w:rFonts w:ascii="Cambria Math" w:hAnsi="Cambria Math"/>
              <w:color w:val="000000" w:themeColor="text1"/>
              <w:szCs w:val="24"/>
            </w:rPr>
            <m:t>+20logf</m:t>
          </m:r>
          <m:d>
            <m:dPr>
              <m:ctrlPr>
                <w:rPr>
                  <w:rFonts w:ascii="Cambria Math" w:hAnsi="Cambria Math"/>
                  <w:bCs/>
                  <w:i/>
                  <w:color w:val="000000" w:themeColor="text1"/>
                  <w:szCs w:val="24"/>
                  <w:lang w:val="en-US"/>
                </w:rPr>
              </m:ctrlPr>
            </m:dPr>
            <m:e>
              <m:r>
                <w:rPr>
                  <w:rFonts w:ascii="Cambria Math" w:hAnsi="Cambria Math"/>
                  <w:color w:val="000000" w:themeColor="text1"/>
                  <w:szCs w:val="24"/>
                </w:rPr>
                <m:t>MHz</m:t>
              </m:r>
            </m:e>
          </m:d>
          <m:r>
            <w:rPr>
              <w:rFonts w:ascii="Cambria Math" w:hAnsi="Cambria Math"/>
              <w:color w:val="000000" w:themeColor="text1"/>
              <w:szCs w:val="24"/>
            </w:rPr>
            <m:t>+</m:t>
          </m:r>
          <m:sSub>
            <m:sSubPr>
              <m:ctrlPr>
                <w:rPr>
                  <w:rFonts w:ascii="Cambria Math" w:hAnsi="Cambria Math"/>
                  <w:i/>
                  <w:color w:val="000000" w:themeColor="text1"/>
                  <w:szCs w:val="24"/>
                </w:rPr>
              </m:ctrlPr>
            </m:sSubPr>
            <m:e>
              <m:r>
                <w:rPr>
                  <w:rFonts w:ascii="Cambria Math" w:hAnsi="Cambria Math"/>
                  <w:color w:val="000000" w:themeColor="text1"/>
                  <w:szCs w:val="24"/>
                </w:rPr>
                <m:t>α</m:t>
              </m:r>
            </m:e>
            <m:sub>
              <m:r>
                <w:rPr>
                  <w:rFonts w:ascii="Cambria Math" w:hAnsi="Cambria Math"/>
                  <w:color w:val="000000" w:themeColor="text1"/>
                  <w:szCs w:val="24"/>
                </w:rPr>
                <m:t>C</m:t>
              </m:r>
            </m:sub>
          </m:sSub>
          <m:d>
            <m:dPr>
              <m:ctrlPr>
                <w:rPr>
                  <w:rFonts w:ascii="Cambria Math" w:hAnsi="Cambria Math"/>
                  <w:i/>
                  <w:color w:val="000000" w:themeColor="text1"/>
                  <w:szCs w:val="24"/>
                </w:rPr>
              </m:ctrlPr>
            </m:dPr>
            <m:e>
              <m:r>
                <w:rPr>
                  <w:rFonts w:ascii="Cambria Math" w:hAnsi="Cambria Math"/>
                  <w:color w:val="000000" w:themeColor="text1"/>
                  <w:szCs w:val="24"/>
                </w:rPr>
                <m:t>dB</m:t>
              </m:r>
            </m:e>
          </m:d>
          <m:r>
            <w:rPr>
              <w:rFonts w:ascii="Cambria Math" w:hAnsi="Cambria Math"/>
              <w:color w:val="000000" w:themeColor="text1"/>
              <w:szCs w:val="24"/>
            </w:rPr>
            <m:t>+22,1 dB ;</m:t>
          </m:r>
        </m:oMath>
      </m:oMathPara>
    </w:p>
    <w:p>
      <w:pPr>
        <w:rPr>
          <w:sz w:val="20"/>
        </w:rPr>
      </w:pPr>
    </w:p>
    <w:p>
      <w:pPr>
        <w:ind w:firstLine="567"/>
        <w:rPr>
          <w:color w:val="000000"/>
          <w:szCs w:val="24"/>
        </w:rPr>
      </w:pPr>
      <w:r>
        <w:rPr>
          <w:color w:val="000000"/>
          <w:szCs w:val="24"/>
        </w:rPr>
        <w:t>2.2</w:t>
      </w:r>
      <w:r>
        <w:rPr>
          <w:color w:val="000000"/>
          <w:szCs w:val="24"/>
        </w:rPr>
        <w:t xml:space="preserve">. radijo </w:t>
      </w:r>
      <w:r>
        <w:rPr>
          <w:bCs/>
          <w:color w:val="000000"/>
          <w:szCs w:val="24"/>
        </w:rPr>
        <w:t xml:space="preserve">dažnių ruože nuo 650 MHz iki 2000 MHz: </w:t>
      </w:r>
      <w:r>
        <w:rPr>
          <w:i/>
          <w:color w:val="000000"/>
          <w:szCs w:val="24"/>
        </w:rPr>
        <w:t>P</w:t>
      </w:r>
      <w:r>
        <w:rPr>
          <w:i/>
          <w:color w:val="000000"/>
          <w:szCs w:val="24"/>
          <w:vertAlign w:val="subscript"/>
        </w:rPr>
        <w:t xml:space="preserve">IP3 </w:t>
      </w:r>
      <w:r>
        <w:rPr>
          <w:iCs/>
          <w:color w:val="000000"/>
          <w:szCs w:val="24"/>
        </w:rPr>
        <w:t xml:space="preserve">= 5 dBm, </w:t>
      </w:r>
      <w:r>
        <w:rPr>
          <w:i/>
          <w:color w:val="000000"/>
          <w:szCs w:val="24"/>
        </w:rPr>
        <w:t xml:space="preserve">NF </w:t>
      </w:r>
      <w:r>
        <w:rPr>
          <w:iCs/>
          <w:color w:val="000000"/>
          <w:szCs w:val="24"/>
        </w:rPr>
        <w:t>= 15 dB,</w:t>
      </w:r>
      <w:r>
        <w:rPr>
          <w:i/>
          <w:color w:val="000000"/>
          <w:szCs w:val="24"/>
        </w:rPr>
        <w:t xml:space="preserve"> G</w:t>
      </w:r>
      <w:r>
        <w:rPr>
          <w:i/>
          <w:color w:val="000000"/>
          <w:szCs w:val="24"/>
          <w:vertAlign w:val="subscript"/>
        </w:rPr>
        <w:t xml:space="preserve">i </w:t>
      </w:r>
      <w:r>
        <w:rPr>
          <w:iCs/>
          <w:color w:val="000000"/>
          <w:szCs w:val="24"/>
        </w:rPr>
        <w:t xml:space="preserve">= 6,5 dB, </w:t>
      </w:r>
      <w:r>
        <w:rPr>
          <w:bCs/>
          <w:color w:val="000000"/>
          <w:szCs w:val="24"/>
        </w:rPr>
        <w:t>t. y.</w:t>
      </w:r>
    </w:p>
    <w:p>
      <w:pPr>
        <w:rPr>
          <w:sz w:val="20"/>
        </w:rPr>
      </w:pPr>
    </w:p>
    <w:p>
      <w:pPr>
        <w:ind w:firstLine="1440"/>
        <w:jc w:val="right"/>
        <w:rPr>
          <w:bCs/>
          <w:color w:val="000000"/>
          <w:szCs w:val="24"/>
        </w:rPr>
      </w:pPr>
      <m:oMathPara>
        <m:oMathParaPr>
          <m:jc m:val="left"/>
        </m:oMathParaPr>
        <m:oMath>
          <m:sSub>
            <m:sSubPr>
              <m:ctrlPr>
                <w:rPr>
                  <w:rFonts w:ascii="Cambria Math" w:hAnsi="Cambria Math"/>
                  <w:bCs/>
                  <w:i/>
                  <w:color w:val="000000" w:themeColor="text1"/>
                  <w:szCs w:val="24"/>
                </w:rPr>
              </m:ctrlPr>
            </m:sSubPr>
            <m:e>
              <m:r>
                <w:rPr>
                  <w:rFonts w:ascii="Cambria Math" w:hAnsi="Cambria Math"/>
                  <w:color w:val="000000" w:themeColor="text1"/>
                  <w:szCs w:val="24"/>
                </w:rPr>
                <m:t>E</m:t>
              </m:r>
            </m:e>
            <m:sub>
              <m:r>
                <w:rPr>
                  <w:rFonts w:ascii="Cambria Math" w:hAnsi="Cambria Math"/>
                  <w:color w:val="000000" w:themeColor="text1"/>
                  <w:szCs w:val="24"/>
                </w:rPr>
                <m:t>max</m:t>
              </m:r>
            </m:sub>
          </m:sSub>
          <m:d>
            <m:dPr>
              <m:ctrlPr>
                <w:rPr>
                  <w:rFonts w:ascii="Cambria Math" w:hAnsi="Cambria Math"/>
                  <w:bCs/>
                  <w:i/>
                  <w:color w:val="000000" w:themeColor="text1"/>
                  <w:szCs w:val="24"/>
                </w:rPr>
              </m:ctrlPr>
            </m:dPr>
            <m:e>
              <m:r>
                <w:rPr>
                  <w:rFonts w:ascii="Cambria Math" w:hAnsi="Cambria Math"/>
                  <w:color w:val="000000" w:themeColor="text1"/>
                  <w:szCs w:val="24"/>
                </w:rPr>
                <m:t>dBμV/m</m:t>
              </m:r>
            </m:e>
          </m:d>
          <m:r>
            <w:rPr>
              <w:rFonts w:ascii="Cambria Math" w:hAnsi="Cambria Math"/>
              <w:color w:val="000000" w:themeColor="text1"/>
              <w:szCs w:val="24"/>
            </w:rPr>
            <m:t>=</m:t>
          </m:r>
          <m:f>
            <m:fPr>
              <m:ctrlPr>
                <w:rPr>
                  <w:rFonts w:ascii="Cambria Math" w:hAnsi="Cambria Math"/>
                  <w:bCs/>
                  <w:i/>
                  <w:color w:val="000000" w:themeColor="text1"/>
                  <w:szCs w:val="24"/>
                  <w:lang w:val="en-US"/>
                </w:rPr>
              </m:ctrlPr>
            </m:fPr>
            <m:num>
              <m:r>
                <w:rPr>
                  <w:rFonts w:ascii="Cambria Math" w:hAnsi="Cambria Math"/>
                  <w:color w:val="000000" w:themeColor="text1"/>
                  <w:szCs w:val="24"/>
                </w:rPr>
                <m:t>10log</m:t>
              </m:r>
              <m:sSub>
                <m:sSubPr>
                  <m:ctrlPr>
                    <w:rPr>
                      <w:rFonts w:ascii="Cambria Math" w:hAnsi="Cambria Math"/>
                      <w:bCs/>
                      <w:i/>
                      <w:color w:val="000000" w:themeColor="text1"/>
                      <w:szCs w:val="24"/>
                      <w:lang w:val="en-US"/>
                    </w:rPr>
                  </m:ctrlPr>
                </m:sSubPr>
                <m:e>
                  <m:r>
                    <w:rPr>
                      <w:rFonts w:ascii="Cambria Math" w:hAnsi="Cambria Math"/>
                      <w:color w:val="000000" w:themeColor="text1"/>
                      <w:szCs w:val="24"/>
                    </w:rPr>
                    <m:t>B</m:t>
                  </m:r>
                </m:e>
                <m:sub>
                  <m:r>
                    <w:rPr>
                      <w:rFonts w:ascii="Cambria Math" w:hAnsi="Cambria Math"/>
                      <w:color w:val="000000" w:themeColor="text1"/>
                      <w:szCs w:val="24"/>
                    </w:rPr>
                    <m:t xml:space="preserve">s </m:t>
                  </m:r>
                </m:sub>
              </m:sSub>
              <m:d>
                <m:dPr>
                  <m:ctrlPr>
                    <w:rPr>
                      <w:rFonts w:ascii="Cambria Math" w:hAnsi="Cambria Math"/>
                      <w:bCs/>
                      <w:i/>
                      <w:color w:val="000000" w:themeColor="text1"/>
                      <w:szCs w:val="24"/>
                      <w:lang w:val="en-US"/>
                    </w:rPr>
                  </m:ctrlPr>
                </m:dPr>
                <m:e>
                  <m:r>
                    <w:rPr>
                      <w:rFonts w:ascii="Cambria Math" w:hAnsi="Cambria Math"/>
                      <w:color w:val="000000" w:themeColor="text1"/>
                      <w:szCs w:val="24"/>
                    </w:rPr>
                    <m:t>Hz</m:t>
                  </m:r>
                </m:e>
              </m:d>
            </m:num>
            <m:den>
              <m:r>
                <w:rPr>
                  <w:rFonts w:ascii="Cambria Math" w:hAnsi="Cambria Math"/>
                  <w:color w:val="000000" w:themeColor="text1"/>
                  <w:szCs w:val="24"/>
                </w:rPr>
                <m:t>3</m:t>
              </m:r>
            </m:den>
          </m:f>
          <m:r>
            <w:rPr>
              <w:rFonts w:ascii="Cambria Math" w:hAnsi="Cambria Math"/>
              <w:color w:val="000000" w:themeColor="text1"/>
              <w:szCs w:val="24"/>
            </w:rPr>
            <m:t>+20logf</m:t>
          </m:r>
          <m:d>
            <m:dPr>
              <m:ctrlPr>
                <w:rPr>
                  <w:rFonts w:ascii="Cambria Math" w:hAnsi="Cambria Math"/>
                  <w:bCs/>
                  <w:i/>
                  <w:color w:val="000000" w:themeColor="text1"/>
                  <w:szCs w:val="24"/>
                  <w:lang w:val="en-US"/>
                </w:rPr>
              </m:ctrlPr>
            </m:dPr>
            <m:e>
              <m:r>
                <w:rPr>
                  <w:rFonts w:ascii="Cambria Math" w:hAnsi="Cambria Math"/>
                  <w:color w:val="000000" w:themeColor="text1"/>
                  <w:szCs w:val="24"/>
                </w:rPr>
                <m:t>MHz</m:t>
              </m:r>
            </m:e>
          </m:d>
          <m:r>
            <w:rPr>
              <w:rFonts w:ascii="Cambria Math" w:hAnsi="Cambria Math"/>
              <w:color w:val="000000" w:themeColor="text1"/>
              <w:szCs w:val="24"/>
            </w:rPr>
            <m:t>+</m:t>
          </m:r>
          <m:sSub>
            <m:sSubPr>
              <m:ctrlPr>
                <w:rPr>
                  <w:rFonts w:ascii="Cambria Math" w:hAnsi="Cambria Math"/>
                  <w:i/>
                  <w:color w:val="000000" w:themeColor="text1"/>
                  <w:szCs w:val="24"/>
                </w:rPr>
              </m:ctrlPr>
            </m:sSubPr>
            <m:e>
              <m:r>
                <w:rPr>
                  <w:rFonts w:ascii="Cambria Math" w:hAnsi="Cambria Math"/>
                  <w:color w:val="000000" w:themeColor="text1"/>
                  <w:szCs w:val="24"/>
                </w:rPr>
                <m:t>α</m:t>
              </m:r>
            </m:e>
            <m:sub>
              <m:r>
                <w:rPr>
                  <w:rFonts w:ascii="Cambria Math" w:hAnsi="Cambria Math"/>
                  <w:color w:val="000000" w:themeColor="text1"/>
                  <w:szCs w:val="24"/>
                </w:rPr>
                <m:t>C</m:t>
              </m:r>
            </m:sub>
          </m:sSub>
          <m:d>
            <m:dPr>
              <m:ctrlPr>
                <w:rPr>
                  <w:rFonts w:ascii="Cambria Math" w:hAnsi="Cambria Math"/>
                  <w:i/>
                  <w:color w:val="000000" w:themeColor="text1"/>
                  <w:szCs w:val="24"/>
                </w:rPr>
              </m:ctrlPr>
            </m:dPr>
            <m:e>
              <m:r>
                <w:rPr>
                  <w:rFonts w:ascii="Cambria Math" w:hAnsi="Cambria Math"/>
                  <w:color w:val="000000" w:themeColor="text1"/>
                  <w:szCs w:val="24"/>
                </w:rPr>
                <m:t>dB</m:t>
              </m:r>
            </m:e>
          </m:d>
          <m:r>
            <w:rPr>
              <w:rFonts w:ascii="Cambria Math" w:hAnsi="Cambria Math"/>
              <w:color w:val="000000" w:themeColor="text1"/>
              <w:szCs w:val="24"/>
            </w:rPr>
            <m:t>+20,4 dB ;</m:t>
          </m:r>
        </m:oMath>
      </m:oMathPara>
    </w:p>
    <w:p>
      <w:pPr>
        <w:rPr>
          <w:sz w:val="20"/>
        </w:rPr>
      </w:pPr>
    </w:p>
    <w:p>
      <w:pPr>
        <w:ind w:firstLine="567"/>
        <w:rPr>
          <w:color w:val="000000"/>
          <w:szCs w:val="24"/>
        </w:rPr>
      </w:pPr>
      <w:r>
        <w:rPr>
          <w:color w:val="000000"/>
          <w:szCs w:val="24"/>
        </w:rPr>
        <w:t>2.3</w:t>
      </w:r>
      <w:r>
        <w:rPr>
          <w:color w:val="000000"/>
          <w:szCs w:val="24"/>
        </w:rPr>
        <w:t xml:space="preserve">. radijo </w:t>
      </w:r>
      <w:r>
        <w:rPr>
          <w:bCs/>
          <w:color w:val="000000"/>
          <w:szCs w:val="24"/>
        </w:rPr>
        <w:t xml:space="preserve">dažnių ruože virš 2000 MHz: </w:t>
      </w:r>
      <w:r>
        <w:rPr>
          <w:i/>
          <w:color w:val="000000"/>
          <w:szCs w:val="24"/>
        </w:rPr>
        <w:t>P</w:t>
      </w:r>
      <w:r>
        <w:rPr>
          <w:i/>
          <w:color w:val="000000"/>
          <w:szCs w:val="24"/>
          <w:vertAlign w:val="subscript"/>
        </w:rPr>
        <w:t xml:space="preserve">IP3 </w:t>
      </w:r>
      <w:r>
        <w:rPr>
          <w:iCs/>
          <w:color w:val="000000"/>
          <w:szCs w:val="24"/>
        </w:rPr>
        <w:t xml:space="preserve">= 5 dBm, </w:t>
      </w:r>
      <w:r>
        <w:rPr>
          <w:i/>
          <w:color w:val="000000"/>
          <w:szCs w:val="24"/>
        </w:rPr>
        <w:t xml:space="preserve">NF </w:t>
      </w:r>
      <w:r>
        <w:rPr>
          <w:iCs/>
          <w:color w:val="000000"/>
          <w:szCs w:val="24"/>
        </w:rPr>
        <w:t>= 15 dB,</w:t>
      </w:r>
      <w:r>
        <w:rPr>
          <w:i/>
          <w:color w:val="000000"/>
          <w:szCs w:val="24"/>
        </w:rPr>
        <w:t xml:space="preserve"> G</w:t>
      </w:r>
      <w:r>
        <w:rPr>
          <w:i/>
          <w:color w:val="000000"/>
          <w:szCs w:val="24"/>
          <w:vertAlign w:val="subscript"/>
        </w:rPr>
        <w:t xml:space="preserve">i </w:t>
      </w:r>
      <w:r>
        <w:rPr>
          <w:iCs/>
          <w:color w:val="000000"/>
          <w:szCs w:val="24"/>
        </w:rPr>
        <w:t xml:space="preserve">= 5,5 dB, </w:t>
      </w:r>
      <w:r>
        <w:rPr>
          <w:bCs/>
          <w:color w:val="000000"/>
          <w:szCs w:val="24"/>
        </w:rPr>
        <w:t>t. y.</w:t>
      </w:r>
    </w:p>
    <w:p>
      <w:pPr>
        <w:rPr>
          <w:sz w:val="20"/>
        </w:rPr>
      </w:pPr>
    </w:p>
    <w:p>
      <w:pPr>
        <w:ind w:firstLine="1440"/>
        <w:jc w:val="right"/>
        <w:rPr>
          <w:color w:val="000000"/>
          <w:szCs w:val="24"/>
        </w:rPr>
      </w:pPr>
      <m:oMathPara>
        <m:oMathParaPr>
          <m:jc m:val="left"/>
        </m:oMathParaPr>
        <m:oMath>
          <m:sSub>
            <m:sSubPr>
              <m:ctrlPr>
                <w:rPr>
                  <w:rFonts w:ascii="Cambria Math" w:hAnsi="Cambria Math"/>
                  <w:bCs/>
                  <w:i/>
                  <w:color w:val="000000" w:themeColor="text1"/>
                  <w:szCs w:val="24"/>
                </w:rPr>
              </m:ctrlPr>
            </m:sSubPr>
            <m:e>
              <m:r>
                <w:rPr>
                  <w:rFonts w:ascii="Cambria Math" w:hAnsi="Cambria Math"/>
                  <w:color w:val="000000" w:themeColor="text1"/>
                  <w:szCs w:val="24"/>
                </w:rPr>
                <m:t>E</m:t>
              </m:r>
            </m:e>
            <m:sub>
              <m:r>
                <w:rPr>
                  <w:rFonts w:ascii="Cambria Math" w:hAnsi="Cambria Math"/>
                  <w:color w:val="000000" w:themeColor="text1"/>
                  <w:szCs w:val="24"/>
                </w:rPr>
                <m:t>max</m:t>
              </m:r>
            </m:sub>
          </m:sSub>
          <m:d>
            <m:dPr>
              <m:ctrlPr>
                <w:rPr>
                  <w:rFonts w:ascii="Cambria Math" w:hAnsi="Cambria Math"/>
                  <w:bCs/>
                  <w:i/>
                  <w:color w:val="000000" w:themeColor="text1"/>
                  <w:szCs w:val="24"/>
                </w:rPr>
              </m:ctrlPr>
            </m:dPr>
            <m:e>
              <m:r>
                <w:rPr>
                  <w:rFonts w:ascii="Cambria Math" w:hAnsi="Cambria Math"/>
                  <w:color w:val="000000" w:themeColor="text1"/>
                  <w:szCs w:val="24"/>
                </w:rPr>
                <m:t>dBμV/m</m:t>
              </m:r>
            </m:e>
          </m:d>
          <m:r>
            <w:rPr>
              <w:rFonts w:ascii="Cambria Math" w:hAnsi="Cambria Math"/>
              <w:color w:val="000000" w:themeColor="text1"/>
              <w:szCs w:val="24"/>
            </w:rPr>
            <m:t>=</m:t>
          </m:r>
          <m:f>
            <m:fPr>
              <m:ctrlPr>
                <w:rPr>
                  <w:rFonts w:ascii="Cambria Math" w:hAnsi="Cambria Math"/>
                  <w:bCs/>
                  <w:i/>
                  <w:color w:val="000000" w:themeColor="text1"/>
                  <w:szCs w:val="24"/>
                  <w:lang w:val="en-US"/>
                </w:rPr>
              </m:ctrlPr>
            </m:fPr>
            <m:num>
              <m:r>
                <w:rPr>
                  <w:rFonts w:ascii="Cambria Math" w:hAnsi="Cambria Math"/>
                  <w:color w:val="000000" w:themeColor="text1"/>
                  <w:szCs w:val="24"/>
                </w:rPr>
                <m:t>10log</m:t>
              </m:r>
              <m:sSub>
                <m:sSubPr>
                  <m:ctrlPr>
                    <w:rPr>
                      <w:rFonts w:ascii="Cambria Math" w:hAnsi="Cambria Math"/>
                      <w:bCs/>
                      <w:i/>
                      <w:color w:val="000000" w:themeColor="text1"/>
                      <w:szCs w:val="24"/>
                      <w:lang w:val="en-US"/>
                    </w:rPr>
                  </m:ctrlPr>
                </m:sSubPr>
                <m:e>
                  <m:r>
                    <w:rPr>
                      <w:rFonts w:ascii="Cambria Math" w:hAnsi="Cambria Math"/>
                      <w:color w:val="000000" w:themeColor="text1"/>
                      <w:szCs w:val="24"/>
                    </w:rPr>
                    <m:t>B</m:t>
                  </m:r>
                </m:e>
                <m:sub>
                  <m:r>
                    <w:rPr>
                      <w:rFonts w:ascii="Cambria Math" w:hAnsi="Cambria Math"/>
                      <w:color w:val="000000" w:themeColor="text1"/>
                      <w:szCs w:val="24"/>
                    </w:rPr>
                    <m:t xml:space="preserve">s </m:t>
                  </m:r>
                </m:sub>
              </m:sSub>
              <m:d>
                <m:dPr>
                  <m:ctrlPr>
                    <w:rPr>
                      <w:rFonts w:ascii="Cambria Math" w:hAnsi="Cambria Math"/>
                      <w:bCs/>
                      <w:i/>
                      <w:color w:val="000000" w:themeColor="text1"/>
                      <w:szCs w:val="24"/>
                      <w:lang w:val="en-US"/>
                    </w:rPr>
                  </m:ctrlPr>
                </m:dPr>
                <m:e>
                  <m:r>
                    <w:rPr>
                      <w:rFonts w:ascii="Cambria Math" w:hAnsi="Cambria Math"/>
                      <w:color w:val="000000" w:themeColor="text1"/>
                      <w:szCs w:val="24"/>
                    </w:rPr>
                    <m:t>Hz</m:t>
                  </m:r>
                </m:e>
              </m:d>
            </m:num>
            <m:den>
              <m:r>
                <w:rPr>
                  <w:rFonts w:ascii="Cambria Math" w:hAnsi="Cambria Math"/>
                  <w:color w:val="000000" w:themeColor="text1"/>
                  <w:szCs w:val="24"/>
                </w:rPr>
                <m:t>3</m:t>
              </m:r>
            </m:den>
          </m:f>
          <m:r>
            <w:rPr>
              <w:rFonts w:ascii="Cambria Math" w:hAnsi="Cambria Math"/>
              <w:color w:val="000000" w:themeColor="text1"/>
              <w:szCs w:val="24"/>
            </w:rPr>
            <m:t>+20logf</m:t>
          </m:r>
          <m:d>
            <m:dPr>
              <m:ctrlPr>
                <w:rPr>
                  <w:rFonts w:ascii="Cambria Math" w:hAnsi="Cambria Math"/>
                  <w:bCs/>
                  <w:i/>
                  <w:color w:val="000000" w:themeColor="text1"/>
                  <w:szCs w:val="24"/>
                  <w:lang w:val="en-US"/>
                </w:rPr>
              </m:ctrlPr>
            </m:dPr>
            <m:e>
              <m:r>
                <w:rPr>
                  <w:rFonts w:ascii="Cambria Math" w:hAnsi="Cambria Math"/>
                  <w:color w:val="000000" w:themeColor="text1"/>
                  <w:szCs w:val="24"/>
                </w:rPr>
                <m:t>MHz</m:t>
              </m:r>
            </m:e>
          </m:d>
          <m:r>
            <w:rPr>
              <w:rFonts w:ascii="Cambria Math" w:hAnsi="Cambria Math"/>
              <w:color w:val="000000" w:themeColor="text1"/>
              <w:szCs w:val="24"/>
            </w:rPr>
            <m:t>+</m:t>
          </m:r>
          <m:sSub>
            <m:sSubPr>
              <m:ctrlPr>
                <w:rPr>
                  <w:rFonts w:ascii="Cambria Math" w:hAnsi="Cambria Math"/>
                  <w:i/>
                  <w:color w:val="000000" w:themeColor="text1"/>
                  <w:szCs w:val="24"/>
                </w:rPr>
              </m:ctrlPr>
            </m:sSubPr>
            <m:e>
              <m:r>
                <w:rPr>
                  <w:rFonts w:ascii="Cambria Math" w:hAnsi="Cambria Math"/>
                  <w:color w:val="000000" w:themeColor="text1"/>
                  <w:szCs w:val="24"/>
                </w:rPr>
                <m:t>α</m:t>
              </m:r>
            </m:e>
            <m:sub>
              <m:r>
                <w:rPr>
                  <w:rFonts w:ascii="Cambria Math" w:hAnsi="Cambria Math"/>
                  <w:color w:val="000000" w:themeColor="text1"/>
                  <w:szCs w:val="24"/>
                </w:rPr>
                <m:t>C</m:t>
              </m:r>
            </m:sub>
          </m:sSub>
          <m:d>
            <m:dPr>
              <m:ctrlPr>
                <w:rPr>
                  <w:rFonts w:ascii="Cambria Math" w:hAnsi="Cambria Math"/>
                  <w:i/>
                  <w:color w:val="000000" w:themeColor="text1"/>
                  <w:szCs w:val="24"/>
                </w:rPr>
              </m:ctrlPr>
            </m:dPr>
            <m:e>
              <m:r>
                <w:rPr>
                  <w:rFonts w:ascii="Cambria Math" w:hAnsi="Cambria Math"/>
                  <w:color w:val="000000" w:themeColor="text1"/>
                  <w:szCs w:val="24"/>
                </w:rPr>
                <m:t>dB</m:t>
              </m:r>
            </m:e>
          </m:d>
          <m:r>
            <w:rPr>
              <w:rFonts w:ascii="Cambria Math" w:hAnsi="Cambria Math"/>
              <w:color w:val="000000" w:themeColor="text1"/>
              <w:szCs w:val="24"/>
            </w:rPr>
            <m:t>+19,4 dB ;</m:t>
          </m:r>
        </m:oMath>
      </m:oMathPara>
    </w:p>
    <w:p>
      <w:pPr>
        <w:rPr>
          <w:sz w:val="20"/>
        </w:rPr>
      </w:pPr>
    </w:p>
    <w:p>
      <w:pPr>
        <w:ind w:firstLine="567"/>
        <w:jc w:val="both"/>
        <w:rPr>
          <w:rFonts w:ascii="TimesLT" w:hAnsi="TimesLT"/>
          <w:bCs/>
          <w:szCs w:val="24"/>
        </w:rPr>
      </w:pPr>
      <w:r>
        <w:rPr>
          <w:rFonts w:ascii="TimesLT" w:hAnsi="TimesLT"/>
          <w:bCs/>
          <w:szCs w:val="24"/>
        </w:rPr>
        <w:t>2.4</w:t>
      </w:r>
      <w:r>
        <w:rPr>
          <w:rFonts w:ascii="TimesLT" w:hAnsi="TimesLT"/>
          <w:bCs/>
          <w:szCs w:val="24"/>
        </w:rPr>
        <w:t>. sta</w:t>
      </w:r>
      <w:r>
        <w:rPr>
          <w:bCs/>
          <w:szCs w:val="24"/>
        </w:rPr>
        <w:t xml:space="preserve">cionariosios radijo stebėsenos stoties antenos </w:t>
      </w:r>
      <w:r>
        <w:rPr>
          <w:rFonts w:ascii="TimesLT" w:hAnsi="TimesLT"/>
          <w:bCs/>
          <w:szCs w:val="24"/>
        </w:rPr>
        <w:t>maitintuvo slopinimas apskaičiuojamas pagal formulę:</w:t>
      </w:r>
    </w:p>
    <w:p>
      <w:pPr>
        <w:rPr>
          <w:sz w:val="20"/>
        </w:rPr>
      </w:pPr>
    </w:p>
    <w:p>
      <w:pPr>
        <w:ind w:firstLine="629"/>
        <w:rPr>
          <w:rFonts w:ascii="TimesLT" w:hAnsi="TimesLT"/>
          <w:bCs/>
          <w:color w:val="000000"/>
          <w:szCs w:val="24"/>
        </w:rPr>
      </w:pPr>
      <m:oMath>
        <m:sSub>
          <m:sSubPr>
            <m:ctrlPr>
              <w:rPr>
                <w:rFonts w:ascii="Cambria Math" w:hAnsi="Cambria Math"/>
                <w:bCs/>
                <w:i/>
                <w:color w:val="000000" w:themeColor="text1"/>
                <w:szCs w:val="24"/>
              </w:rPr>
            </m:ctrlPr>
          </m:sSubPr>
          <m:e>
            <m:r>
              <w:rPr>
                <w:rFonts w:ascii="Cambria Math" w:hAnsi="Cambria Math"/>
                <w:color w:val="000000" w:themeColor="text1"/>
                <w:szCs w:val="24"/>
              </w:rPr>
              <m:t>α</m:t>
            </m:r>
          </m:e>
          <m:sub>
            <m:r>
              <w:rPr>
                <w:rFonts w:ascii="Cambria Math" w:hAnsi="Cambria Math"/>
                <w:color w:val="000000" w:themeColor="text1"/>
                <w:szCs w:val="24"/>
              </w:rPr>
              <m:t>C</m:t>
            </m:r>
          </m:sub>
        </m:sSub>
        <m:r>
          <w:rPr>
            <w:rFonts w:ascii="Cambria Math" w:hAnsi="Cambria Math"/>
            <w:color w:val="000000" w:themeColor="text1"/>
            <w:szCs w:val="24"/>
          </w:rPr>
          <m:t>(dB)=0,000176f</m:t>
        </m:r>
        <m:d>
          <m:dPr>
            <m:ctrlPr>
              <w:rPr>
                <w:rFonts w:ascii="Cambria Math" w:hAnsi="Cambria Math"/>
                <w:bCs/>
                <w:i/>
                <w:color w:val="000000" w:themeColor="text1"/>
                <w:szCs w:val="24"/>
              </w:rPr>
            </m:ctrlPr>
          </m:dPr>
          <m:e>
            <m:r>
              <w:rPr>
                <w:rFonts w:ascii="Cambria Math" w:hAnsi="Cambria Math"/>
                <w:color w:val="000000" w:themeColor="text1"/>
                <w:szCs w:val="24"/>
              </w:rPr>
              <m:t>MHz</m:t>
            </m:r>
          </m:e>
        </m:d>
        <m:r>
          <w:rPr>
            <w:rFonts w:ascii="Cambria Math" w:hAnsi="Cambria Math"/>
            <w:color w:val="000000" w:themeColor="text1"/>
            <w:szCs w:val="24"/>
          </w:rPr>
          <m:t>+0,08342</m:t>
        </m:r>
        <m:rad>
          <m:radPr>
            <m:degHide m:val="1"/>
            <m:ctrlPr>
              <w:rPr>
                <w:rFonts w:ascii="Cambria Math" w:hAnsi="Cambria Math"/>
                <w:bCs/>
                <w:i/>
                <w:color w:val="000000" w:themeColor="text1"/>
                <w:szCs w:val="24"/>
              </w:rPr>
            </m:ctrlPr>
          </m:radPr>
          <m:deg/>
          <m:e>
            <m:r>
              <w:rPr>
                <w:rFonts w:ascii="Cambria Math" w:hAnsi="Cambria Math"/>
                <w:color w:val="000000" w:themeColor="text1"/>
                <w:szCs w:val="24"/>
              </w:rPr>
              <m:t>f(MHz)</m:t>
            </m:r>
          </m:e>
        </m:rad>
      </m:oMath>
      <w:r>
        <w:rPr>
          <w:rFonts w:ascii="TimesLT" w:hAnsi="TimesLT"/>
          <w:bCs/>
          <w:color w:val="000000"/>
          <w:szCs w:val="24"/>
        </w:rPr>
        <w:t>.</w:t>
        <w:tab/>
        <w:tab/>
        <w:tab/>
        <w:tab/>
      </w:r>
    </w:p>
    <w:p>
      <w:pPr>
        <w:jc w:val="center"/>
      </w:pPr>
      <w:r>
        <w:rPr>
          <w:szCs w:val="24"/>
        </w:rPr>
        <w:t>_________________</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738f72b011d111ebb74de75171d26d52">
        <w:r w:rsidRPr="00532B9F">
          <w:rPr>
            <w:rFonts w:ascii="Times New Roman" w:eastAsia="MS Mincho" w:hAnsi="Times New Roman"/>
            <w:sz w:val="20"/>
            <w:i/>
            <w:iCs/>
            <w:color w:val="0000FF" w:themeColor="hyperlink"/>
            <w:u w:val="single"/>
          </w:rPr>
          <w:t>(1.9E)1V-984</w:t>
        </w:r>
      </w:fldSimple>
      <w:r>
        <w:rPr>
          <w:rFonts w:ascii="Times New Roman" w:eastAsia="MS Mincho" w:hAnsi="Times New Roman"/>
          <w:sz w:val="20"/>
          <w:i/>
          <w:iCs/>
        </w:rPr>
        <w:t>,
2020-10-15,
paskelbta TAR 2020-10-19, i. k. 2020-21633            </w:t>
      </w:r>
    </w:p>
    <w:p/>
    <w:p>
      <w:pPr>
        <w:pStyle w:val="PlainText"/>
        <w:ind w:firstLine="567"/>
        <w:jc w:val="both"/>
        <w:rPr>
          <w:rFonts w:ascii="Times New Roman" w:hAnsi="Times New Roman"/>
          <w:b/>
          <w:bCs/>
          <w:sz w:val="22"/>
        </w:rPr>
      </w:pPr>
      <w:r>
        <w:rPr>
          <w:rFonts w:ascii="Times New Roman" w:hAnsi="Times New Roman"/>
          <w:b/>
          <w:sz w:val="22"/>
        </w:rPr>
        <w:t>1</w:t>
      </w:r>
      <w:r>
        <w:rPr>
          <w:rFonts w:ascii="Times New Roman" w:hAnsi="Times New Roman"/>
          <w:b/>
          <w:sz w:val="22"/>
        </w:rPr>
        <w:t xml:space="preserve"> priedas.</w:t>
      </w:r>
      <w:r>
        <w:rPr>
          <w:rFonts w:ascii="Times New Roman" w:eastAsia="MS Mincho" w:hAnsi="Times New Roman"/>
          <w:sz w:val="20"/>
          <w:i/>
          <w:iCs/>
        </w:rPr>
        <w:t xml:space="preserve"> Neteko galios nuo 2017-05-01</w:t>
      </w:r>
    </w:p>
    <w:p>
      <w:pPr>
        <w:pStyle w:val="PlainText"/>
        <w:rPr>
          <w:rFonts w:ascii="Times New Roman" w:eastAsia="MS Mincho" w:hAnsi="Times New Roman"/>
          <w:sz w:val="20"/>
          <w:i/>
          <w:iCs/>
        </w:rPr>
      </w:pPr>
      <w:r>
        <w:rPr>
          <w:rFonts w:ascii="Times New Roman" w:eastAsia="MS Mincho" w:hAnsi="Times New Roman"/>
          <w:sz w:val="20"/>
          <w:i/>
          <w:iCs/>
        </w:rPr>
        <w:t>Priedo naikinimas: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512b8a10e48511e68503b67e3b82e8bd">
        <w:r w:rsidRPr="00532B9F">
          <w:rPr>
            <w:rFonts w:ascii="Times New Roman" w:eastAsia="MS Mincho" w:hAnsi="Times New Roman"/>
            <w:sz w:val="20"/>
            <w:i/>
            <w:iCs/>
            <w:color w:val="0000FF" w:themeColor="hyperlink"/>
            <w:u w:val="single"/>
          </w:rPr>
          <w:t>1V-101</w:t>
        </w:r>
      </w:fldSimple>
      <w:r>
        <w:rPr>
          <w:rFonts w:ascii="Times New Roman" w:eastAsia="MS Mincho" w:hAnsi="Times New Roman"/>
          <w:sz w:val="20"/>
          <w:i/>
          <w:iCs/>
        </w:rPr>
        <w:t>,
2017-01-27,
paskelbta TAR 2017-01-27, i. k. 2017-01595        </w:t>
      </w:r>
    </w:p>
    <w:p/>
    <w:p>
      <w:pPr>
        <w:pStyle w:val="PlainText"/>
        <w:ind w:firstLine="567"/>
        <w:jc w:val="both"/>
        <w:rPr>
          <w:rFonts w:ascii="Times New Roman" w:hAnsi="Times New Roman"/>
          <w:b/>
          <w:bCs/>
          <w:sz w:val="22"/>
        </w:rPr>
      </w:pPr>
      <w:r>
        <w:rPr>
          <w:rFonts w:ascii="Times New Roman" w:hAnsi="Times New Roman"/>
          <w:b/>
          <w:sz w:val="22"/>
        </w:rPr>
        <w:t>2</w:t>
      </w:r>
      <w:r>
        <w:rPr>
          <w:rFonts w:ascii="Times New Roman" w:hAnsi="Times New Roman"/>
          <w:b/>
          <w:sz w:val="22"/>
        </w:rPr>
        <w:t xml:space="preserve"> priedas.</w:t>
      </w:r>
      <w:r>
        <w:rPr>
          <w:rFonts w:ascii="Times New Roman" w:eastAsia="MS Mincho" w:hAnsi="Times New Roman"/>
          <w:sz w:val="20"/>
          <w:i/>
          <w:iCs/>
        </w:rPr>
        <w:t xml:space="preserve"> Neteko galios nuo 2017-05-01</w:t>
      </w:r>
    </w:p>
    <w:p>
      <w:pPr>
        <w:pStyle w:val="PlainText"/>
        <w:rPr>
          <w:rFonts w:ascii="Times New Roman" w:eastAsia="MS Mincho" w:hAnsi="Times New Roman"/>
          <w:sz w:val="20"/>
          <w:i/>
          <w:iCs/>
        </w:rPr>
      </w:pPr>
      <w:r>
        <w:rPr>
          <w:rFonts w:ascii="Times New Roman" w:eastAsia="MS Mincho" w:hAnsi="Times New Roman"/>
          <w:sz w:val="20"/>
          <w:i/>
          <w:iCs/>
        </w:rPr>
        <w:t>Priedo naikinimas: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512b8a10e48511e68503b67e3b82e8bd">
        <w:r w:rsidRPr="00532B9F">
          <w:rPr>
            <w:rFonts w:ascii="Times New Roman" w:eastAsia="MS Mincho" w:hAnsi="Times New Roman"/>
            <w:sz w:val="20"/>
            <w:i/>
            <w:iCs/>
            <w:color w:val="0000FF" w:themeColor="hyperlink"/>
            <w:u w:val="single"/>
          </w:rPr>
          <w:t>1V-101</w:t>
        </w:r>
      </w:fldSimple>
      <w:r>
        <w:rPr>
          <w:rFonts w:ascii="Times New Roman" w:eastAsia="MS Mincho" w:hAnsi="Times New Roman"/>
          <w:sz w:val="20"/>
          <w:i/>
          <w:iCs/>
        </w:rPr>
        <w:t>,
2017-01-27,
paskelbta TAR 2017-01-27, i. k. 2017-01595        </w:t>
      </w:r>
    </w:p>
    <w:p/>
    <w:p>
      <w:pPr>
        <w:jc w:val="both"/>
        <w:rPr>
          <w:rFonts w:ascii="Times New Roman" w:hAnsi="Times New Roman"/>
          <w:sz w:val="20"/>
          <w:b/>
        </w:rPr>
      </w:pPr>
    </w:p>
    <w:p>
      <w:pPr>
        <w:jc w:val="both"/>
        <w:rPr>
          <w:rFonts w:ascii="Times New Roman" w:hAnsi="Times New Roman"/>
          <w:sz w:val="20"/>
          <w:b/>
        </w:rPr>
      </w:pPr>
    </w:p>
    <w:p>
      <w:pPr>
        <w:jc w:val="both"/>
        <w:rPr>
          <w:rFonts w:ascii="Times New Roman" w:hAnsi="Times New Roman"/>
          <w:b/>
        </w:rPr>
      </w:pPr>
      <w:r>
        <w:rPr>
          <w:rFonts w:ascii="Times New Roman" w:hAnsi="Times New Roman"/>
          <w:sz w:val="20"/>
          <w:b/>
        </w:rPr>
        <w:t>Pakeitimai:</w:t>
      </w:r>
    </w:p>
    <w:p>
      <w:pPr>
        <w:jc w:val="both"/>
        <w:rPr>
          <w:rFonts w:ascii="Times New Roman" w:hAnsi="Times New Roman"/>
          <w:sz w:val="20"/>
        </w:rPr>
      </w:pPr>
    </w:p>
    <w:p>
      <w:pPr>
        <w:jc w:val="both"/>
        <w:rPr>
          <w:rFonts w:ascii="Times New Roman" w:hAnsi="Times New Roman"/>
        </w:rPr>
      </w:pPr>
      <w:r>
        <w:rPr>
          <w:rFonts w:ascii="Times New Roman" w:hAnsi="Times New Roman"/>
          <w:sz w:val="20"/>
        </w:rPr>
        <w:t>1.</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512b8a10e48511e68503b67e3b82e8bd">
        <w:r w:rsidRPr="00532B9F">
          <w:rPr>
            <w:rFonts w:ascii="Times New Roman" w:eastAsia="MS Mincho" w:hAnsi="Times New Roman"/>
            <w:sz w:val="20"/>
            <w:iCs/>
            <w:color w:val="0000FF" w:themeColor="hyperlink"/>
            <w:u w:val="single"/>
          </w:rPr>
          <w:t>1V-101</w:t>
        </w:r>
      </w:fldSimple>
      <w:r>
        <w:rPr>
          <w:rFonts w:ascii="Times New Roman" w:eastAsia="MS Mincho" w:hAnsi="Times New Roman"/>
          <w:sz w:val="20"/>
          <w:iCs/>
        </w:rPr>
        <w:t>,
2017-01-27,
paskelbta TAR 2017-01-27, i. k. 2017-01595                </w:t>
      </w:r>
    </w:p>
    <w:p>
      <w:pPr>
        <w:jc w:val="both"/>
        <w:rPr>
          <w:rFonts w:ascii="Times New Roman" w:hAnsi="Times New Roman"/>
        </w:rPr>
      </w:pPr>
      <w:r>
        <w:rPr>
          <w:rFonts w:ascii="Times New Roman" w:hAnsi="Times New Roman"/>
          <w:sz w:val="20"/>
        </w:rPr>
        <w:t>Dėl Lietuvos Respublikos ryšių reguliavimo tarnybos direktoriaus 2006 m. spalio 5 d. įsakymo Nr. 1V-1053 „Dėl Ryšių reguliavimo tarnybos fiksuotų radijo stebėsenos stočių apsaugos nuo stiprių elektromagnetinių laukų, sukeliamų jų aplinkoje veikiančių radijo siųstuvų, taisyklių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2.</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738f72b011d111ebb74de75171d26d52">
        <w:r w:rsidRPr="00532B9F">
          <w:rPr>
            <w:rFonts w:ascii="Times New Roman" w:eastAsia="MS Mincho" w:hAnsi="Times New Roman"/>
            <w:sz w:val="20"/>
            <w:iCs/>
            <w:color w:val="0000FF" w:themeColor="hyperlink"/>
            <w:u w:val="single"/>
          </w:rPr>
          <w:t>(1.9E)1V-984</w:t>
        </w:r>
      </w:fldSimple>
      <w:r>
        <w:rPr>
          <w:rFonts w:ascii="Times New Roman" w:eastAsia="MS Mincho" w:hAnsi="Times New Roman"/>
          <w:sz w:val="20"/>
          <w:iCs/>
        </w:rPr>
        <w:t>,
2020-10-15,
paskelbta TAR 2020-10-19, i. k. 2020-21633                </w:t>
      </w:r>
    </w:p>
    <w:p>
      <w:pPr>
        <w:jc w:val="both"/>
        <w:rPr>
          <w:rFonts w:ascii="Times New Roman" w:hAnsi="Times New Roman"/>
        </w:rPr>
      </w:pPr>
      <w:r>
        <w:rPr>
          <w:rFonts w:ascii="Times New Roman" w:hAnsi="Times New Roman"/>
          <w:sz w:val="20"/>
        </w:rPr>
        <w:t>Dėl Lietuvos Respublikos ryšių reguliavimo tarnybos direktoriaus 2006 m. spalio 5 d. įsakymo Nr. 1V-1053 „Dėl Lietuvos Respublikos ryšių reguliavimo tarnybos stacionariųjų radijo stebėsenos stočių apsaugos nuo stiprių elektromagnetinių laukų, sukeliamų jų aplinkoje veikiančių radijo ryšio stočių, taisyklių patvirtinimo“ pakeitimo</w:t>
      </w:r>
    </w:p>
    <w:p>
      <w:pPr>
        <w:jc w:val="both"/>
        <w:rPr>
          <w:rFonts w:ascii="Times New Roman" w:hAnsi="Times New Roman"/>
          <w:sz w:val="20"/>
        </w:rPr>
      </w:pPr>
    </w:p>
    <w:p>
      <w:pPr>
        <w:widowControl w:val="0"/>
        <w:rPr>
          <w:rFonts w:ascii="Times New Roman" w:hAnsi="Times New Roman"/>
          <w:snapToGrid w:val="0"/>
        </w:rPr>
      </w:pPr>
    </w:p>
    <w:sectPr>
      <w:pgSz w:w="11907" w:h="16839" w:code="9"/>
      <w:pgMar w:top="1134" w:right="567" w:bottom="1134" w:left="1701" w:header="709" w:footer="709" w:gutter="0"/>
      <w:pgNumType w:start="1"/>
      <w:cols w:space="708"/>
      <w:titlePg/>
      <w:docGrid w:linePitch="326"/>
    </w:sectPr>
  </w:body>
</w:document>
</file>

<file path=word/endnotes.xml><?xml version="1.0" encoding="utf-8"?>
<w:endnot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endnote w:type="separator" w:id="-1">
    <w:p>
      <w:r>
        <w:separator/>
      </w:r>
    </w:p>
  </w:endnote>
  <w:endnote w:type="continuationSeparator" w:id="0">
    <w:p>
      <w:r>
        <w:continuationSeparator/>
      </w:r>
    </w:p>
  </w:endnote>
</w:endnotes>
</file>

<file path=word/fontTable.xml><?xml version="1.0" encoding="utf-8"?>
<w:font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10.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rPr>
        <w:szCs w:val="24"/>
      </w:rPr>
    </w:pPr>
  </w:p>
</w:ftr>
</file>

<file path=word/footer11.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rPr>
        <w:szCs w:val="24"/>
      </w:rPr>
    </w:pPr>
  </w:p>
</w:ftr>
</file>

<file path=word/footer12.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rPr>
        <w:szCs w:val="24"/>
      </w:rPr>
    </w:pPr>
  </w:p>
</w:ftr>
</file>

<file path=word/footer2.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3.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4.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5.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6.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7.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8.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9.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notes.xml><?xml version="1.0" encoding="utf-8"?>
<w:footnot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footnote w:type="separator" w:id="-1">
    <w:p>
      <w:r>
        <w:separator/>
      </w:r>
    </w:p>
  </w:footnote>
  <w:footnote w:type="continuationSeparator" w:id="0">
    <w:p>
      <w:r>
        <w:continuationSeparator/>
      </w:r>
    </w:p>
  </w:footnote>
</w:footnotes>
</file>

<file path=word/header1.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pPr>
      <w:tabs>
        <w:tab w:val="center" w:pos="4153"/>
        <w:tab w:val="right" w:pos="8306"/>
      </w:tabs>
      <w:rPr>
        <w:lang w:val="en-GB"/>
      </w:rPr>
    </w:pPr>
  </w:p>
</w:hdr>
</file>

<file path=word/header10.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rPr>
        <w:szCs w:val="24"/>
      </w:rPr>
    </w:pPr>
  </w:p>
</w:hdr>
</file>

<file path=word/header11.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Pr>
        <w:szCs w:val="24"/>
      </w:rPr>
      <w:t>5</w:t>
    </w:r>
    <w:r>
      <w:rPr>
        <w:szCs w:val="24"/>
      </w:rPr>
      <w:fldChar w:fldCharType="end"/>
    </w:r>
  </w:p>
  <w:p>
    <w:pPr>
      <w:tabs>
        <w:tab w:val="center" w:pos="4819"/>
        <w:tab w:val="right" w:pos="9638"/>
      </w:tabs>
      <w:rPr>
        <w:szCs w:val="24"/>
      </w:rPr>
    </w:pPr>
  </w:p>
</w:hdr>
</file>

<file path=word/header12.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986"/>
        <w:tab w:val="right" w:pos="9972"/>
      </w:tabs>
    </w:pPr>
  </w:p>
</w:hdr>
</file>

<file path=word/header2.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Pr>
        <w:lang w:val="en-GB"/>
      </w:rPr>
      <w:t>2</w:t>
    </w:r>
    <w:r>
      <w:rPr>
        <w:lang w:val="en-GB"/>
      </w:rPr>
      <w:fldChar w:fldCharType="end"/>
    </w:r>
  </w:p>
  <w:p>
    <w:pPr>
      <w:tabs>
        <w:tab w:val="center" w:pos="4153"/>
        <w:tab w:val="right" w:pos="8306"/>
      </w:tabs>
      <w:rPr>
        <w:lang w:val="en-GB"/>
      </w:rPr>
    </w:pPr>
  </w:p>
</w:hdr>
</file>

<file path=word/header3.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lang w:val="en-GB"/>
      </w:rPr>
    </w:pPr>
  </w:p>
</w:hdr>
</file>

<file path=word/header4.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pPr>
      <w:tabs>
        <w:tab w:val="center" w:pos="4153"/>
        <w:tab w:val="right" w:pos="8306"/>
      </w:tabs>
      <w:rPr>
        <w:lang w:val="en-GB"/>
      </w:rPr>
    </w:pPr>
  </w:p>
</w:hdr>
</file>

<file path=word/header5.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Pr>
        <w:lang w:val="en-GB"/>
      </w:rPr>
      <w:t>9</w:t>
    </w:r>
    <w:r>
      <w:rPr>
        <w:lang w:val="en-GB"/>
      </w:rPr>
      <w:fldChar w:fldCharType="end"/>
    </w:r>
  </w:p>
  <w:p>
    <w:pPr>
      <w:tabs>
        <w:tab w:val="center" w:pos="4153"/>
        <w:tab w:val="right" w:pos="8306"/>
      </w:tabs>
      <w:rPr>
        <w:lang w:val="en-GB"/>
      </w:rPr>
    </w:pPr>
  </w:p>
</w:hdr>
</file>

<file path=word/header6.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lang w:val="en-GB"/>
      </w:rPr>
    </w:pPr>
  </w:p>
</w:hdr>
</file>

<file path=word/header7.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pPr>
      <w:tabs>
        <w:tab w:val="center" w:pos="4153"/>
        <w:tab w:val="right" w:pos="8306"/>
      </w:tabs>
      <w:rPr>
        <w:lang w:val="en-GB"/>
      </w:rPr>
    </w:pPr>
  </w:p>
</w:hdr>
</file>

<file path=word/header8.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Pr>
        <w:lang w:val="en-GB"/>
      </w:rPr>
      <w:t>4</w:t>
    </w:r>
    <w:r>
      <w:rPr>
        <w:lang w:val="en-GB"/>
      </w:rPr>
      <w:fldChar w:fldCharType="end"/>
    </w:r>
  </w:p>
  <w:p>
    <w:pPr>
      <w:tabs>
        <w:tab w:val="center" w:pos="4153"/>
        <w:tab w:val="right" w:pos="8306"/>
      </w:tabs>
      <w:rPr>
        <w:lang w:val="en-GB"/>
      </w:rPr>
    </w:pPr>
  </w:p>
</w:hdr>
</file>

<file path=word/header9.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lang w:val="en-GB"/>
      </w:rPr>
    </w:pPr>
  </w:p>
</w:hdr>
</file>

<file path=word/settings.xml><?xml version="1.0" encoding="utf-8"?>
<w:setting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zoom w:percent="72"/>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781"/>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stylesWithEffects.xml><?xml version="1.0" encoding="utf-8"?>
<w:styl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optimizeForBrowser/>
</w:webSettings>
</file>

<file path=word/_rels/document.xml.rels><?xml version="1.0" encoding="UTF-8"?>

<Relationships xmlns="http://schemas.openxmlformats.org/package/2006/relationships">
  <Relationship Id="rId1" Type="http://schemas.openxmlformats.org/officeDocument/2006/relationships/oleObject" Target="embeddings/oleObject1.bin"/>
  <Relationship Id="rId10" Type="http://schemas.microsoft.com/office/2007/relationships/stylesWithEffects" Target="stylesWithEffects.xml"/>
  <Relationship Id="rId11" Type="http://schemas.openxmlformats.org/officeDocument/2006/relationships/theme" Target="theme/theme1.xml"/>
  <Relationship Id="rId12" Type="http://schemas.openxmlformats.org/officeDocument/2006/relationships/webSettings" Target="webSettings.xml"/>
  <Relationship Id="rId13" Type="http://schemas.openxmlformats.org/officeDocument/2006/relationships/image" Target="media/image7.wmf"/>
  <Relationship Id="rId14" Type="http://schemas.openxmlformats.org/officeDocument/2006/relationships/control" Target="activeX/activeX3.xml"/>
  <Relationship Id="rId15" Type="http://schemas.openxmlformats.org/officeDocument/2006/relationships/header" Target="header7.xml"/>
  <Relationship Id="rId16" Type="http://schemas.openxmlformats.org/officeDocument/2006/relationships/header" Target="header8.xml"/>
  <Relationship Id="rId17" Type="http://schemas.openxmlformats.org/officeDocument/2006/relationships/footer" Target="footer7.xml"/>
  <Relationship Id="rId18" Type="http://schemas.openxmlformats.org/officeDocument/2006/relationships/footer" Target="footer8.xml"/>
  <Relationship Id="rId19" Type="http://schemas.openxmlformats.org/officeDocument/2006/relationships/header" Target="header9.xml"/>
  <Relationship Id="rId2" Type="http://schemas.openxmlformats.org/officeDocument/2006/relationships/oleObject" Target="embeddings/oleObject2.bin"/>
  <Relationship Id="rId20" Type="http://schemas.openxmlformats.org/officeDocument/2006/relationships/footer" Target="footer9.xml"/>
  <Relationship Id="rId21" Type="http://schemas.openxmlformats.org/officeDocument/2006/relationships/header" Target="header10.xml"/>
  <Relationship Id="rId22" Type="http://schemas.openxmlformats.org/officeDocument/2006/relationships/header" Target="header11.xml"/>
  <Relationship Id="rId23" Type="http://schemas.openxmlformats.org/officeDocument/2006/relationships/footer" Target="footer10.xml"/>
  <Relationship Id="rId24" Type="http://schemas.openxmlformats.org/officeDocument/2006/relationships/footer" Target="footer11.xml"/>
  <Relationship Id="rId25" Type="http://schemas.openxmlformats.org/officeDocument/2006/relationships/header" Target="header12.xml"/>
  <Relationship Id="rId26" Type="http://schemas.openxmlformats.org/officeDocument/2006/relationships/footer" Target="footer12.xml"/>
  <Relationship Id="rId3" Type="http://schemas.openxmlformats.org/officeDocument/2006/relationships/endnotes" Target="endnote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image" Target="media/image2.wmf"/>
  <Relationship Id="rId7" Type="http://schemas.openxmlformats.org/officeDocument/2006/relationships/image" Target="media/image3.wmf"/>
  <Relationship Id="rId8" Type="http://schemas.openxmlformats.org/officeDocument/2006/relationships/settings" Target="settings.xml"/>
  <Relationship Id="rId9" Type="http://schemas.openxmlformats.org/officeDocument/2006/relationships/styles" Target="styles.xml"/>
</Relationships>

</file>

<file path=word/activeX/_rels/activeX1.xml.rels><?xml version="1.0" encoding="UTF-8"?>

<Relationships xmlns="http://schemas.openxmlformats.org/package/2006/relationships">
  <Relationship Id="rId1" Type="http://schemas.microsoft.com/office/2006/relationships/activeXControlBinary" Target="activeX1.bin"/>
</Relationships>

</file>

<file path=word/activeX/_rels/activeX2.xml.rels><?xml version="1.0" encoding="UTF-8"?>

<Relationships xmlns="http://schemas.openxmlformats.org/package/2006/relationships">
  <Relationship Id="rId1" Type="http://schemas.microsoft.com/office/2006/relationships/activeXControlBinary" Target="activeX2.bin"/>
</Relationships>

</file>

<file path=word/activeX/_rels/activeX3.xml.rels><?xml version="1.0" encoding="UTF-8"?>

<Relationships xmlns="http://schemas.openxmlformats.org/package/2006/relationships">
  <Relationship Id="rId1" Type="http://schemas.microsoft.com/office/2006/relationships/activeXControlBinary" Target="activeX3.bin"/>
</Relationships>

</file>

<file path=word/activeX/activeX1.xml><?xml version="1.0" encoding="utf-8"?>
<ax:ocx xmlns:ax="http://schemas.microsoft.com/office/2006/activeX" xmlns:r="http://schemas.openxmlformats.org/officeDocument/2006/relationships" ax:classid="{868FBE40-B964-453C-BEA2-77F32F2C294F}" ax:persistence="persistStorage" r:id="rId1"/>
</file>

<file path=word/activeX/activeX2.xml><?xml version="1.0" encoding="utf-8"?>
<ax:ocx xmlns:ax="http://schemas.microsoft.com/office/2006/activeX" xmlns:r="http://schemas.openxmlformats.org/officeDocument/2006/relationships" ax:classid="{868FBE40-B964-453C-BEA2-77F32F2C294F}" ax:persistence="persistStorage" r:id="rId1"/>
</file>

<file path=word/activeX/activeX3.xml><?xml version="1.0" encoding="utf-8"?>
<ax:ocx xmlns:ax="http://schemas.microsoft.com/office/2006/activeX" xmlns:r="http://schemas.openxmlformats.org/officeDocument/2006/relationships" ax:classid="{868FBE40-B964-453C-BEA2-77F32F2C294F}"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emplate>Normal.dotm</Template>
  <TotalTime>7</TotalTime>
  <Pages>6</Pages>
  <Words>8168</Words>
  <Characters>4657</Characters>
  <Application>Microsoft Office Word</Application>
  <DocSecurity>0</DocSecurity>
  <Lines>38</Lines>
  <Paragraphs>25</Paragraphs>
  <ScaleCrop>false</ScaleCrop>
  <Company>Teisines informacijos centras</Company>
  <LinksUpToDate>false</LinksUpToDate>
  <CharactersWithSpaces>12800</CharactersWithSpaces>
  <SharedDoc>false</SharedDoc>
  <HyperlinkBase/>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2015-08-28T15:23:00Z</dcterms:created>
  <dc:creator>Sandra</dc:creator>
  <lastModifiedBy>JUOSPONIENĖ Karolina</lastModifiedBy>
  <dcterms:modified xsi:type="dcterms:W3CDTF">2020-10-20T12:32:00Z</dcterms:modified>
  <revision>7</revision>
  <dc:title>LIETUVOS RESPUBLIKOS RYŠIŲ REGULIAVIMO TARNYBOS DIREKTORIAUS</dc:title>
</coreProperties>
</file>