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taisx="http://lrs.lt/TAIS/DocPartXmlMark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body>
    <w:p>
      <w:pPr>
        <w:jc w:val="both"/>
        <w:rPr>
          <w:rFonts w:ascii="Times New Roman" w:hAnsi="Times New Roman"/>
        </w:rPr>
      </w:pPr>
      <w:r>
        <w:rPr>
          <w:rFonts w:ascii="Times New Roman" w:hAnsi="Times New Roman"/>
          <w:b/>
          <w:i/>
        </w:rPr>
        <w:t>Suvestinė redakcija nuo 2022-04-09</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2006, Nr. </w:t>
      </w:r>
      <w:fldSimple w:instr="HYPERLINK https://www.e-tar.lt/portal/legalAct.html?documentId=TAR.8979045C3990">
        <w:r w:rsidRPr="00532B9F">
          <w:rPr>
            <w:rFonts w:ascii="Times New Roman" w:eastAsia="MS Mincho" w:hAnsi="Times New Roman"/>
            <w:sz w:val="20"/>
            <w:i/>
            <w:iCs/>
            <w:color w:val="0000FF" w:themeColor="hyperlink"/>
            <w:u w:val="single"/>
          </w:rPr>
          <w:t>49-1786</w:t>
        </w:r>
      </w:fldSimple>
      <w:r>
        <w:rPr>
          <w:rFonts w:ascii="Times New Roman" w:eastAsia="MS Mincho" w:hAnsi="Times New Roman"/>
          <w:sz w:val="20"/>
          <w:i/>
          <w:iCs/>
        </w:rPr>
        <w:t>, i. k. 10611RRISAK001V-574</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2022-04-09:</w:t>
      </w:r>
    </w:p>
    <w:p>
      <w:pPr>
        <w:rPr>
          <w:rFonts w:ascii="Times New Roman" w:hAnsi="Times New Roman"/>
          <w:sz w:val="20"/>
          <w:i/>
        </w:rPr>
      </w:pPr>
      <w:r>
        <w:rPr>
          <w:rFonts w:ascii="Times New Roman" w:hAnsi="Times New Roman"/>
          <w:sz w:val="20"/>
          <w:i/>
        </w:rPr>
        <w:t xml:space="preserve">Nr. </w:t>
      </w:r>
      <w:fldSimple w:instr="HYPERLINK https://www.e-tar.lt/portal/legalAct.html?documentId=e20236d0b72d11ec8d9390588bf2de65">
        <w:r w:rsidRPr="00532B9F">
          <w:rPr>
            <w:rFonts w:ascii="Times New Roman" w:eastAsia="MS Mincho" w:hAnsi="Times New Roman"/>
            <w:sz w:val="20"/>
            <w:i/>
            <w:iCs/>
            <w:color w:val="0000FF" w:themeColor="hyperlink"/>
            <w:u w:val="single"/>
          </w:rPr>
          <w:t>(1.9E)1V-256</w:t>
        </w:r>
      </w:fldSimple>
      <w:r>
        <w:rPr>
          <w:rFonts w:ascii="Times New Roman" w:eastAsia="MS Mincho" w:hAnsi="Times New Roman"/>
          <w:sz w:val="20"/>
          <w:i/>
          <w:iCs/>
        </w:rPr>
        <w:t>,
2022-04-08,
paskelbta TAR 2022-04-08, i. k. 2022-07396                </w:t>
      </w:r>
    </w:p>
    <w:p>
      <w:pPr>
        <w:rPr>
          <w:rFonts w:ascii="Times New Roman" w:hAnsi="Times New Roman"/>
          <w:sz w:val="22"/>
        </w:rPr>
      </w:pPr>
    </w:p>
    <w:p>
      <w:pPr>
        <w:jc w:val="center"/>
        <w:rPr>
          <w:b/>
          <w:szCs w:val="24"/>
          <w:lang w:eastAsia="lt-LT"/>
        </w:rPr>
      </w:pPr>
      <w:r>
        <w:rPr>
          <w:b/>
          <w:szCs w:val="24"/>
          <w:lang w:eastAsia="lt-LT"/>
        </w:rPr>
        <w:t xml:space="preserve">LIETUVOS RESPUBLIKOS </w:t>
      </w:r>
    </w:p>
    <w:p>
      <w:pPr>
        <w:jc w:val="center"/>
        <w:rPr>
          <w:b/>
          <w:szCs w:val="24"/>
          <w:lang w:eastAsia="lt-LT"/>
        </w:rPr>
      </w:pPr>
      <w:r>
        <w:rPr>
          <w:b/>
          <w:szCs w:val="24"/>
          <w:lang w:eastAsia="lt-LT"/>
        </w:rPr>
        <w:t xml:space="preserve">RYŠIŲ REGULIAVIMO TARNYBOS </w:t>
      </w:r>
    </w:p>
    <w:p>
      <w:pPr>
        <w:jc w:val="center"/>
        <w:rPr>
          <w:b/>
          <w:szCs w:val="24"/>
          <w:lang w:eastAsia="lt-LT"/>
        </w:rPr>
      </w:pPr>
      <w:r>
        <w:rPr>
          <w:b/>
          <w:szCs w:val="24"/>
          <w:lang w:eastAsia="lt-LT"/>
        </w:rPr>
        <w:t>DIREKTORIUS</w:t>
      </w:r>
    </w:p>
    <w:p>
      <w:pPr>
        <w:jc w:val="center"/>
        <w:rPr>
          <w:szCs w:val="24"/>
        </w:rPr>
      </w:pPr>
    </w:p>
    <w:p>
      <w:pPr>
        <w:jc w:val="center"/>
        <w:rPr>
          <w:b/>
          <w:szCs w:val="24"/>
        </w:rPr>
      </w:pPr>
      <w:r>
        <w:rPr>
          <w:b/>
          <w:szCs w:val="24"/>
        </w:rPr>
        <w:t>ĮSAKYMAS</w:t>
      </w:r>
    </w:p>
    <w:p>
      <w:pPr>
        <w:jc w:val="center"/>
        <w:rPr>
          <w:b/>
          <w:szCs w:val="24"/>
        </w:rPr>
      </w:pPr>
      <w:r>
        <w:rPr>
          <w:b/>
          <w:szCs w:val="24"/>
        </w:rPr>
        <w:t>DĖL UNIVERSALIŲJŲ ELEKTRONINIŲ RYŠIŲ PASLAUGŲ TEIKIMO NUOSTOLIŲ APSKAIČIAVIMO TAISYKLIŲ</w:t>
      </w:r>
      <w:r>
        <w:rPr>
          <w:bCs/>
          <w:szCs w:val="24"/>
        </w:rPr>
        <w:t xml:space="preserve"> </w:t>
      </w:r>
      <w:r>
        <w:rPr>
          <w:b/>
          <w:szCs w:val="24"/>
        </w:rPr>
        <w:t>PATVIRTINIMO</w:t>
      </w:r>
    </w:p>
    <w:p>
      <w:pPr>
        <w:jc w:val="center"/>
        <w:rPr>
          <w:b/>
          <w:szCs w:val="24"/>
        </w:rPr>
      </w:pPr>
    </w:p>
    <w:p>
      <w:pPr>
        <w:jc w:val="center"/>
        <w:rPr>
          <w:color w:val="000000"/>
          <w:szCs w:val="24"/>
        </w:rPr>
      </w:pPr>
      <w:r>
        <w:rPr>
          <w:color w:val="000000"/>
          <w:szCs w:val="24"/>
        </w:rPr>
        <w:t>2006 m. balandžio 28 d. Nr. 1V-574</w:t>
      </w:r>
    </w:p>
    <w:p>
      <w:pPr>
        <w:jc w:val="center"/>
        <w:rPr>
          <w:b/>
          <w:szCs w:val="24"/>
        </w:rPr>
      </w:pPr>
      <w:r>
        <w:rPr>
          <w:color w:val="000000"/>
          <w:szCs w:val="24"/>
        </w:rPr>
        <w:t>Vilnius</w:t>
      </w:r>
    </w:p>
    <w:p>
      <w:pPr>
        <w:ind w:firstLine="709"/>
        <w:jc w:val="both"/>
      </w:pPr>
    </w:p>
    <w:p>
      <w:pPr>
        <w:ind w:firstLine="709"/>
        <w:jc w:val="both"/>
        <w:rPr>
          <w:rFonts w:eastAsia="Calibri"/>
          <w:szCs w:val="24"/>
        </w:rPr>
      </w:pPr>
      <w:r>
        <w:rPr>
          <w:rFonts w:eastAsia="Calibri"/>
          <w:szCs w:val="24"/>
        </w:rPr>
        <w:t xml:space="preserve">Vadovaudamasis Lietuvos Respublikos elektroninių ryšių įstatymo </w:t>
      </w:r>
      <w:r>
        <w:rPr>
          <w:bCs/>
        </w:rPr>
        <w:t>37</w:t>
      </w:r>
      <w:r>
        <w:rPr>
          <w:b/>
          <w:szCs w:val="24"/>
        </w:rPr>
        <w:t xml:space="preserve"> </w:t>
      </w:r>
      <w:r>
        <w:rPr>
          <w:szCs w:val="24"/>
        </w:rPr>
        <w:t>straipsnio 11 dalimi ir įgyvendindamas</w:t>
      </w:r>
      <w:r>
        <w:rPr>
          <w:rFonts w:eastAsia="Calibri"/>
          <w:szCs w:val="24"/>
        </w:rPr>
        <w:t xml:space="preserve"> 2018 m. gruodžio 11 d. Europos Parlamento ir Tarybos direktyvą (ES) 2018/1972, kuria nustatomas Europos elektroninių ryšių kodeksas,</w:t>
      </w:r>
    </w:p>
    <w:p>
      <w:pPr>
        <w:ind w:firstLine="709"/>
        <w:jc w:val="both"/>
      </w:pPr>
      <w:r>
        <w:rPr>
          <w:spacing w:val="60"/>
        </w:rPr>
        <w:t xml:space="preserve">tvirtinu </w:t>
      </w:r>
      <w:r>
        <w:rPr>
          <w:color w:val="000000"/>
        </w:rPr>
        <w:t xml:space="preserve">Universaliųjų elektroninių ryšių paslaugų teikimo nuostolių apskaičiavimo taisykles </w:t>
      </w:r>
      <w:r>
        <w:rPr>
          <w:szCs w:val="24"/>
          <w:lang w:eastAsia="lt-LT"/>
        </w:rPr>
        <w:t>(pridedama).</w:t>
      </w:r>
      <w:r>
        <w:t xml:space="preserve"> </w:t>
      </w:r>
    </w:p>
    <w:p>
      <w:pPr>
        <w:tabs>
          <w:tab w:val="right" w:pos="9639"/>
        </w:tabs>
        <w:jc w:val="both"/>
      </w:pPr>
    </w:p>
    <w:p>
      <w:pPr>
        <w:tabs>
          <w:tab w:val="right" w:pos="9639"/>
        </w:tabs>
        <w:jc w:val="both"/>
      </w:pPr>
    </w:p>
    <w:p>
      <w:pPr>
        <w:tabs>
          <w:tab w:val="right" w:pos="9639"/>
        </w:tabs>
        <w:jc w:val="both"/>
      </w:pPr>
    </w:p>
    <w:p>
      <w:pPr>
        <w:tabs>
          <w:tab w:val="right" w:pos="9639"/>
        </w:tabs>
        <w:jc w:val="both"/>
        <w:rPr>
          <w:caps/>
        </w:rPr>
      </w:pPr>
      <w:r>
        <w:rPr>
          <w:caps/>
        </w:rPr>
        <w:t>DIREKTORIAUS PAVADUOTOJAS</w:t>
      </w:r>
    </w:p>
    <w:p>
      <w:pPr>
        <w:tabs>
          <w:tab w:val="right" w:pos="9639"/>
        </w:tabs>
        <w:jc w:val="both"/>
        <w:rPr>
          <w:caps/>
        </w:rPr>
      </w:pPr>
      <w:r>
        <w:rPr>
          <w:caps/>
        </w:rPr>
        <w:t>L. E. DIREKTORIAUS PAREIGAS</w:t>
        <w:tab/>
        <w:t>TOMAS LAMANAUSKAS</w:t>
      </w:r>
    </w:p>
    <w:p>
      <w:pPr>
        <w:widowControl w:val="0"/>
        <w:jc w:val="center"/>
        <w:rPr>
          <w:color w:val="000000"/>
          <w:szCs w:val="24"/>
        </w:rPr>
      </w:pPr>
      <w:r>
        <w:rPr>
          <w:color w:val="000000"/>
          <w:szCs w:val="24"/>
        </w:rPr>
        <w:t>______________</w:t>
      </w:r>
    </w:p>
    <w:p>
      <w:pPr>
        <w:widowControl w:val="0"/>
        <w:jc w:val="center"/>
      </w:pPr>
    </w:p>
    <w:p>
      <w:pPr>
        <w:tabs>
          <w:tab w:val="left" w:pos="1304"/>
          <w:tab w:val="left" w:pos="1457"/>
          <w:tab w:val="left" w:pos="1604"/>
          <w:tab w:val="left" w:pos="1757"/>
        </w:tabs>
        <w:ind w:left="5670"/>
        <w:sectPr>
          <w:headerReference w:type="even" r:id="rId33"/>
          <w:headerReference w:type="default" r:id="rId34"/>
          <w:footerReference w:type="even" r:id="rId35"/>
          <w:footerReference w:type="default" r:id="rId36"/>
          <w:headerReference w:type="first" r:id="rId37"/>
          <w:footerReference w:type="first" r:id="rId38"/>
          <w:pgSz w:w="11906" w:h="16838"/>
          <w:pgMar w:top="1134" w:right="567" w:bottom="1134" w:left="1701" w:header="709" w:footer="709" w:gutter="0"/>
          <w:cols w:space="708"/>
          <w:titlePg/>
          <w:docGrid w:linePitch="360"/>
        </w:sectPr>
      </w:pPr>
    </w:p>
    <w:p>
      <w:pPr>
        <w:tabs>
          <w:tab w:val="left" w:pos="1304"/>
          <w:tab w:val="left" w:pos="1457"/>
          <w:tab w:val="left" w:pos="1604"/>
          <w:tab w:val="left" w:pos="1757"/>
        </w:tabs>
        <w:ind w:firstLine="4536"/>
        <w:rPr>
          <w:szCs w:val="24"/>
        </w:rPr>
      </w:pPr>
      <w:r>
        <w:rPr>
          <w:szCs w:val="24"/>
        </w:rPr>
        <w:t>PATVIRTINTA</w:t>
      </w:r>
    </w:p>
    <w:p>
      <w:pPr>
        <w:tabs>
          <w:tab w:val="left" w:pos="1304"/>
          <w:tab w:val="left" w:pos="1457"/>
          <w:tab w:val="left" w:pos="1604"/>
          <w:tab w:val="left" w:pos="1757"/>
        </w:tabs>
        <w:ind w:left="4536"/>
        <w:rPr>
          <w:szCs w:val="24"/>
        </w:rPr>
      </w:pPr>
      <w:r>
        <w:rPr>
          <w:szCs w:val="24"/>
        </w:rPr>
        <w:t xml:space="preserve">Lietuvos Respublikos ryšių reguliavimo tarnybos direktoriaus </w:t>
      </w:r>
      <w:smartTag w:uri="urn:schemas-microsoft-com:office:smarttags" w:element="metricconverter">
        <w:smartTagPr>
          <w:attr w:name="ProductID" w:val="2006 m"/>
        </w:smartTagPr>
        <w:r>
          <w:rPr>
            <w:szCs w:val="24"/>
          </w:rPr>
          <w:t>2006 m</w:t>
        </w:r>
      </w:smartTag>
      <w:r>
        <w:rPr>
          <w:szCs w:val="24"/>
        </w:rPr>
        <w:t xml:space="preserve">. balandžio 28 d. įsakymu </w:t>
      </w:r>
    </w:p>
    <w:p>
      <w:pPr>
        <w:tabs>
          <w:tab w:val="left" w:pos="1304"/>
          <w:tab w:val="left" w:pos="1457"/>
          <w:tab w:val="left" w:pos="1604"/>
          <w:tab w:val="left" w:pos="1757"/>
        </w:tabs>
        <w:ind w:left="4536"/>
        <w:rPr>
          <w:szCs w:val="24"/>
        </w:rPr>
      </w:pPr>
      <w:r>
        <w:rPr>
          <w:szCs w:val="24"/>
        </w:rPr>
        <w:t>Nr. 1V-574</w:t>
      </w:r>
    </w:p>
    <w:p>
      <w:pPr>
        <w:tabs>
          <w:tab w:val="left" w:pos="1304"/>
          <w:tab w:val="left" w:pos="1457"/>
          <w:tab w:val="left" w:pos="1604"/>
          <w:tab w:val="left" w:pos="1757"/>
        </w:tabs>
        <w:ind w:left="4536"/>
        <w:rPr>
          <w:szCs w:val="24"/>
        </w:rPr>
      </w:pPr>
      <w:r>
        <w:rPr>
          <w:szCs w:val="24"/>
        </w:rPr>
        <w:t xml:space="preserve">(Lietuvos Respublikos ryšių reguliavimo tarnybos direktoriaus </w:t>
      </w:r>
      <w:r>
        <w:rPr>
          <w:color w:val="000000"/>
        </w:rPr>
        <w:t xml:space="preserve">2022 m. balandžio 8 d. </w:t>
      </w:r>
      <w:r>
        <w:rPr>
          <w:szCs w:val="24"/>
        </w:rPr>
        <w:t>įsakymo Nr. (1.9E)1V-256 redakcija)</w:t>
      </w:r>
    </w:p>
    <w:p>
      <w:pPr>
        <w:ind w:firstLine="312"/>
        <w:jc w:val="both"/>
        <w:rPr>
          <w:szCs w:val="24"/>
        </w:rPr>
      </w:pPr>
    </w:p>
    <w:p>
      <w:pPr>
        <w:jc w:val="both"/>
        <w:rPr>
          <w:szCs w:val="24"/>
        </w:rPr>
      </w:pPr>
    </w:p>
    <w:p>
      <w:pPr>
        <w:jc w:val="center"/>
        <w:rPr>
          <w:b/>
          <w:bCs/>
          <w:caps/>
          <w:szCs w:val="24"/>
        </w:rPr>
      </w:pPr>
      <w:r>
        <w:rPr>
          <w:b/>
          <w:bCs/>
          <w:caps/>
          <w:szCs w:val="24"/>
        </w:rPr>
        <w:t xml:space="preserve">UNIVERSALIŲJŲ ELEKTRONINIŲ RYŠIŲ PASLAUGŲ TEIKIMO NUOSTOLIŲ </w:t>
      </w:r>
    </w:p>
    <w:p>
      <w:pPr>
        <w:jc w:val="center"/>
        <w:rPr>
          <w:b/>
          <w:bCs/>
          <w:caps/>
          <w:szCs w:val="24"/>
        </w:rPr>
      </w:pPr>
      <w:r>
        <w:rPr>
          <w:b/>
          <w:bCs/>
          <w:caps/>
          <w:szCs w:val="24"/>
        </w:rPr>
        <w:t>APSKAIČIAVIMO TAISYKLĖS</w:t>
      </w:r>
    </w:p>
    <w:p>
      <w:pPr>
        <w:ind w:firstLine="312"/>
        <w:jc w:val="both"/>
        <w:rPr>
          <w:szCs w:val="24"/>
        </w:rPr>
      </w:pPr>
    </w:p>
    <w:p>
      <w:pPr>
        <w:jc w:val="center"/>
        <w:rPr>
          <w:b/>
          <w:bCs/>
          <w:caps/>
          <w:szCs w:val="24"/>
        </w:rPr>
      </w:pPr>
      <w:r>
        <w:rPr>
          <w:b/>
          <w:bCs/>
          <w:caps/>
          <w:szCs w:val="24"/>
        </w:rPr>
        <w:t>I</w:t>
      </w:r>
      <w:r>
        <w:rPr>
          <w:b/>
          <w:bCs/>
          <w:caps/>
          <w:szCs w:val="24"/>
        </w:rPr>
        <w:t xml:space="preserve"> SKYRIUS</w:t>
      </w:r>
    </w:p>
    <w:p>
      <w:pPr>
        <w:jc w:val="center"/>
        <w:rPr>
          <w:b/>
          <w:bCs/>
          <w:caps/>
          <w:szCs w:val="24"/>
        </w:rPr>
      </w:pPr>
      <w:r>
        <w:rPr>
          <w:b/>
          <w:bCs/>
          <w:caps/>
          <w:szCs w:val="24"/>
        </w:rPr>
        <w:t>BENDROSIOS NUOSTATOS</w:t>
      </w:r>
    </w:p>
    <w:p>
      <w:pPr>
        <w:ind w:firstLine="312"/>
        <w:jc w:val="both"/>
        <w:rPr>
          <w:szCs w:val="24"/>
        </w:rPr>
      </w:pPr>
    </w:p>
    <w:p>
      <w:pPr>
        <w:ind w:firstLine="709"/>
        <w:jc w:val="both"/>
        <w:rPr>
          <w:szCs w:val="24"/>
        </w:rPr>
      </w:pPr>
      <w:r>
        <w:rPr>
          <w:szCs w:val="24"/>
        </w:rPr>
        <w:t>1</w:t>
      </w:r>
      <w:r>
        <w:rPr>
          <w:szCs w:val="24"/>
        </w:rPr>
        <w:t>. Universaliųjų elektroninių ryšių paslaugų teikimo nuostolių apskaičiavimo taisyklės (toliau – Taisyklės) nustato dėl įpareigojimo užtikrinti universaliųjų paslaugų prieinamumą ir jas teikti patirtų nuostolių (toliau – universaliųjų paslaugų teikimo nuostoliai) ir dėl įpareigojimo teikti įperkamas universaliąsias paslaugas patirtų nuostolių</w:t>
      </w:r>
      <w:r>
        <w:rPr>
          <w:b/>
          <w:bCs/>
          <w:szCs w:val="24"/>
        </w:rPr>
        <w:t xml:space="preserve"> </w:t>
      </w:r>
      <w:r>
        <w:rPr>
          <w:szCs w:val="24"/>
        </w:rPr>
        <w:t>(toliau – įperkamų universaliųjų paslaugų teikimo nuostoliai) apskaičiavimo bendruosius reikalavimus, šių nuostolių nustatymo tvarką, taip pat universaliųjų paslaugų teikimo nuostolių ir (arba) įperkamų universaliųjų paslaugų teikimo nuostolių kompensavimo mechanizmo įgyvendinimo tvarką.</w:t>
      </w:r>
    </w:p>
    <w:p>
      <w:pPr>
        <w:ind w:firstLine="709"/>
        <w:jc w:val="both"/>
        <w:rPr>
          <w:szCs w:val="24"/>
        </w:rPr>
      </w:pPr>
      <w:r>
        <w:rPr>
          <w:szCs w:val="24"/>
        </w:rPr>
        <w:t>2</w:t>
      </w:r>
      <w:r>
        <w:rPr>
          <w:szCs w:val="24"/>
        </w:rPr>
        <w:t>. Taisyklės taikomos viešųjų elektroninių ryšių paslaugų teikėjams, Universaliųjų elektroninių ryšių paslaugų teikimo taisyklių, patvirtintų Lietuvos Respublikos ryšių reguliavimo tarnybos direktoriaus 2011 m. rugsėjo 20 d. įsakymu Nr. 1V-889 „Dėl Universaliųjų elektroninių ryšių paslaugų teikimo taisyklių patvirtinimo“, (toliau – Universaliųjų paslaugų teikimo taisyklės) nustatyta tvarka įpareigotiems užtikrinti universaliųjų elektroninių ryšių paslaugų (toliau – universaliosios paslaugos) prieinamumą ir teikti universaliąsias paslaugas ir (arba) įpareigotiems teikti įperkamas universaliąsias paslaugas</w:t>
      </w:r>
      <w:r>
        <w:rPr>
          <w:szCs w:val="32"/>
        </w:rPr>
        <w:t xml:space="preserve"> </w:t>
      </w:r>
      <w:r>
        <w:rPr>
          <w:szCs w:val="24"/>
        </w:rPr>
        <w:t>nepasiturintiems gyventojams, kurie turi teisę gauti arba gauna piniginę socialinę paramą pagal Lietuvos Respublikos piniginės socialinės paramos nepasiturintiems gyventojams įstatymą, ar socialinių paslaugų gavėjams, kurie gauna socialines paslaugas Lietuvos Respublikos socialinių paslaugų įstatymo nustatyta tvarka ir sąlygomis, (toliau – įperkamos universaliosios paslaugos), kurie Universaliųjų elektroninių ryšių paslaugų teikimo nuostolių kompensavimo taisyklių, patvirtintų Lietuvos Respublikos Vyriausybės 2011 m. spalio 27 d. nutarimu Nr. 1248 „Dėl Universaliųjų elektroninių ryšių paslaugų teikimo nuostolių kompensavimo taisyklių patvirtinimo“, (toliau – Universaliųjų paslaugų teikimo nuostolių kompensavimo taisyklės) nustatyta tvarka pateikia prašymą kompensuoti universaliųjų paslaugų teikimo nuostolius ir (arba) įperkamų universaliųjų paslaugų teikimo nuostolius (toliau – teikėjas), taip pat viešųjų elektroninių ryšių tinklų ir (arba) viešųjų elektroninių ryšių paslaugų teikėjams, kurie dalyvauja įgyvendinant universaliųjų paslaugų teikimo nuostolių ir (arba) įperkamų universaliųjų paslaugų teikimo nuostolių kompensavimo mechanizmą.</w:t>
      </w:r>
    </w:p>
    <w:p>
      <w:pPr>
        <w:ind w:firstLine="709"/>
        <w:jc w:val="both"/>
        <w:rPr>
          <w:szCs w:val="24"/>
        </w:rPr>
      </w:pPr>
      <w:r>
        <w:rPr>
          <w:szCs w:val="24"/>
        </w:rPr>
        <w:t>3</w:t>
      </w:r>
      <w:r>
        <w:rPr>
          <w:szCs w:val="24"/>
        </w:rPr>
        <w:t>. Taisyklėse vartojamos sąvokos:</w:t>
      </w:r>
    </w:p>
    <w:p>
      <w:pPr>
        <w:ind w:firstLine="709"/>
        <w:jc w:val="both"/>
        <w:rPr>
          <w:szCs w:val="24"/>
        </w:rPr>
      </w:pPr>
      <w:r>
        <w:rPr>
          <w:szCs w:val="24"/>
        </w:rPr>
        <w:t>3.1</w:t>
      </w:r>
      <w:r>
        <w:rPr>
          <w:szCs w:val="24"/>
        </w:rPr>
        <w:t xml:space="preserve">. </w:t>
      </w:r>
      <w:r>
        <w:rPr>
          <w:b/>
          <w:bCs/>
          <w:szCs w:val="24"/>
        </w:rPr>
        <w:t>Ataskaitinis laikotarpis</w:t>
      </w:r>
      <w:r>
        <w:rPr>
          <w:szCs w:val="24"/>
        </w:rPr>
        <w:t xml:space="preserve"> – kalendoriniai metai, už kuriuos yra skaičiuojami įpareigojimo užtikrinti universaliųjų paslaugų prieinamumą ir jas teikti patirti nuostoliai ir (arba) dėl įpareigojimo teikti įperkamas universaliąsias paslaugas patirti nuostoliai.</w:t>
      </w:r>
    </w:p>
    <w:p>
      <w:pPr>
        <w:ind w:firstLine="709"/>
        <w:jc w:val="both"/>
        <w:rPr>
          <w:szCs w:val="24"/>
        </w:rPr>
      </w:pPr>
      <w:r>
        <w:rPr>
          <w:szCs w:val="24"/>
        </w:rPr>
        <w:t>3.2</w:t>
      </w:r>
      <w:r>
        <w:rPr>
          <w:szCs w:val="24"/>
        </w:rPr>
        <w:t xml:space="preserve">. </w:t>
      </w:r>
      <w:r>
        <w:rPr>
          <w:b/>
          <w:bCs/>
          <w:szCs w:val="24"/>
        </w:rPr>
        <w:t>Grynosios sąnaudos</w:t>
      </w:r>
      <w:r>
        <w:rPr>
          <w:szCs w:val="24"/>
        </w:rPr>
        <w:t xml:space="preserve"> – pastoviųjų ir kintamųjų ribinių sąnaudų, patirtų teikiant universaliąsias elektroninių ryšių paslaugas ir (arba) įperkamas universaliąsias elektroninių ryšių paslaugas, suma.</w:t>
      </w:r>
    </w:p>
    <w:p>
      <w:pPr>
        <w:ind w:firstLine="709"/>
        <w:jc w:val="both"/>
        <w:rPr>
          <w:szCs w:val="24"/>
        </w:rPr>
      </w:pPr>
      <w:r>
        <w:rPr>
          <w:szCs w:val="24"/>
        </w:rPr>
        <w:t>3.3</w:t>
      </w:r>
      <w:r>
        <w:rPr>
          <w:szCs w:val="24"/>
        </w:rPr>
        <w:t xml:space="preserve">. </w:t>
      </w:r>
      <w:r>
        <w:rPr>
          <w:b/>
          <w:bCs/>
          <w:szCs w:val="24"/>
        </w:rPr>
        <w:t>Elektroninių ryšių paslaugų teikėjo savireklama</w:t>
      </w:r>
      <w:r>
        <w:rPr>
          <w:szCs w:val="24"/>
        </w:rPr>
        <w:t xml:space="preserve"> (toliau – savireklama) – reklama, kai viešųjų elektroninių ryšių paslaugų teikėjas, naudodamas universaliąsias elektroninių ryšių paslaugas ir (arba) įperkamas universaliąsias elektroninių ryšių paslaugas ar šių paslaugų teikimo priemones, reklamuoja pats save ar bet kokias savo teikiamas paslaugas, įskaitant viešąsias elektroninių ryšių paslaugas, ir gauna naudą iš galutinių universaliųjų elektroninių ryšių paslaugų ir (arba) įperkamų universaliųjų elektroninių ryšių paslaugų gavėjų dėl to, kad jo taikomi rinkodaros ir rėmimo metodai skatina gavėjus pasirinkti būtent jo paslaugas.</w:t>
      </w:r>
    </w:p>
    <w:p>
      <w:pPr>
        <w:ind w:firstLine="709"/>
        <w:jc w:val="both"/>
        <w:rPr>
          <w:szCs w:val="24"/>
        </w:rPr>
      </w:pPr>
      <w:r>
        <w:rPr>
          <w:szCs w:val="24"/>
        </w:rPr>
        <w:t>3.4</w:t>
      </w:r>
      <w:r>
        <w:rPr>
          <w:szCs w:val="24"/>
        </w:rPr>
        <w:t>. Kitos Taisyklėse vartojamos sąvokos apibrėžtos Lietuvos Respublikos elektroninių ryšių įstatyme, Universaliųjų paslaugų teikimo nuostolių kompensavimo taisyklėse ir Sąnaudų apskaitos pagal visiškai paskirstytų sąnaudų metodą taisyklėse, patvirtintose Lietuvos Respublikos ryšių reguliavimo tarnybos direktoriaus 2005 m. gruodžio 28 d. įsakymu Nr. 1V-1164 „Dėl Sąnaudų apskaitos pagal visiškai paskirstytų sąnaudų metodą taisyklių patvirtinimo“, (toliau – Sąnaudų apskaitos taisyklės).</w:t>
      </w:r>
    </w:p>
    <w:p>
      <w:pPr>
        <w:ind w:firstLine="709"/>
        <w:jc w:val="both"/>
        <w:rPr>
          <w:szCs w:val="24"/>
        </w:rPr>
      </w:pPr>
      <w:r>
        <w:rPr>
          <w:szCs w:val="24"/>
        </w:rPr>
        <w:t>4</w:t>
      </w:r>
      <w:r>
        <w:rPr>
          <w:szCs w:val="24"/>
        </w:rPr>
        <w:t>. Visi dokumentai, teikiami Lietuvos Respublikos ryšių reguliavimo tarnybai (toliau – Tarnyba) pagal Taisykles, turi atitikti Dokumentų teikimo Lietuvos Respublikos ryšių reguliavimo tarnybai taisyklėse, patvirtintose Tarnybos direktoriaus 2004 m. rugsėjo 16 d. įsakymu Nr. 1V-292 „Dėl Dokumentų teikimo Lietuvos Respublikos ryšių reguliavimo tarnybai taisyklių patvirtinimo“, nustatytus reikalavimus ir turi būti pateikiami šiose taisyklėse nustatyta tvarka ir būdais.</w:t>
      </w:r>
    </w:p>
    <w:p>
      <w:pPr>
        <w:ind w:firstLine="709"/>
        <w:jc w:val="both"/>
        <w:rPr>
          <w:szCs w:val="24"/>
        </w:rPr>
      </w:pPr>
      <w:r>
        <w:rPr>
          <w:szCs w:val="24"/>
        </w:rPr>
        <w:t>5</w:t>
      </w:r>
      <w:r>
        <w:rPr>
          <w:szCs w:val="24"/>
        </w:rPr>
        <w:t>. Teikėjas, teikdamas Tarnybai Universaliųjų paslaugų teikimo nuostolių kompensavimo taisyklių 9 punkte nurodytus dokumentus, duomenis ir (arba) skaičiavimus, turi pateikti:</w:t>
      </w:r>
    </w:p>
    <w:p>
      <w:pPr>
        <w:ind w:firstLine="709"/>
        <w:jc w:val="both"/>
        <w:rPr>
          <w:rFonts w:ascii="TimesLT" w:hAnsi="TimesLT"/>
          <w:szCs w:val="24"/>
        </w:rPr>
      </w:pPr>
      <w:r>
        <w:rPr>
          <w:rFonts w:ascii="TimesLT" w:hAnsi="TimesLT"/>
          <w:szCs w:val="24"/>
        </w:rPr>
        <w:t>5.1</w:t>
      </w:r>
      <w:r>
        <w:rPr>
          <w:rFonts w:ascii="TimesLT" w:hAnsi="TimesLT"/>
          <w:szCs w:val="24"/>
        </w:rPr>
        <w:t xml:space="preserve">. universaliųjų paslaugų teikimo </w:t>
      </w:r>
      <w:r>
        <w:rPr>
          <w:szCs w:val="24"/>
        </w:rPr>
        <w:t>nuostolių ir (arba) įperkamų universaliųjų paslaugų teikimo nuostolių apskaičiavimą, atliktą Taisyklių II, III ir IV skyriuose nustatyta tvarka;</w:t>
      </w:r>
    </w:p>
    <w:p>
      <w:pPr>
        <w:ind w:firstLine="709"/>
        <w:jc w:val="both"/>
        <w:rPr>
          <w:szCs w:val="24"/>
        </w:rPr>
      </w:pPr>
      <w:r>
        <w:rPr>
          <w:szCs w:val="24"/>
        </w:rPr>
        <w:t>5.2</w:t>
      </w:r>
      <w:r>
        <w:rPr>
          <w:szCs w:val="24"/>
        </w:rPr>
        <w:t>. duomenis apie pajamų ir (arba) sąnaudų apskaitą ir paskirstymą pagal kiekvieną Universaliųjų paslaugų teikimo taisyklių 4 punkte nurodytą universaliąją paslaugą, atliktą vadovaujantis Sąnaudų apskaitos taisyklėse ir Apskaitos atskyrimo taisyklėse ir su apskaitos atskyrimu susijusiuose reikalavimuose, patvirtintuose Tarnybos direktoriaus 2006 m. birželio 14 d. įsakymu Nr. lV-738 „Dėl Apskaitos atskyrimo taisyklių ir su apskaitos atskyrimu susijusių reikalavimų patvirtinimo“, (toliau – Apskaitos atskyrimo taisyklės) nustatytais reikalavimais;</w:t>
      </w:r>
    </w:p>
    <w:p>
      <w:pPr>
        <w:ind w:firstLine="709"/>
        <w:jc w:val="both"/>
        <w:rPr>
          <w:szCs w:val="24"/>
        </w:rPr>
      </w:pPr>
      <w:r>
        <w:rPr>
          <w:szCs w:val="24"/>
        </w:rPr>
        <w:t>5.3</w:t>
      </w:r>
      <w:r>
        <w:rPr>
          <w:szCs w:val="24"/>
        </w:rPr>
        <w:t>. ataskaitą apie universaliąsias paslaugas, kurioje pateikiama informacija apie universaliųjų paslaugų vienetų skaičių bei grynųjų sąnaudų sumą pagal Taisyklių 1 priede pateiktą formą, jei teikėjas įpareigotas</w:t>
      </w:r>
      <w:r>
        <w:rPr>
          <w:rFonts w:ascii="TimesLT" w:hAnsi="TimesLT"/>
          <w:sz w:val="20"/>
        </w:rPr>
        <w:t xml:space="preserve"> </w:t>
      </w:r>
      <w:r>
        <w:rPr>
          <w:szCs w:val="24"/>
        </w:rPr>
        <w:t>užtikrinti universaliųjų paslaugų prieinamumą ir teikti universaliąsias paslaugas;</w:t>
      </w:r>
    </w:p>
    <w:p>
      <w:pPr>
        <w:ind w:firstLine="709"/>
        <w:jc w:val="both"/>
        <w:rPr>
          <w:szCs w:val="24"/>
        </w:rPr>
      </w:pPr>
      <w:r>
        <w:rPr>
          <w:szCs w:val="24"/>
        </w:rPr>
        <w:t>5.4</w:t>
      </w:r>
      <w:r>
        <w:rPr>
          <w:szCs w:val="24"/>
        </w:rPr>
        <w:t>. ataskaitą apie įperkamas universaliąsias paslaugas, kurioje pateikiama informacija apie įperkamų universaliųjų paslaugų vienetų skaičių bei bendrą pajamų, gautų teikiant šias paslaugas, sumą ir sąnaudų, patirtų teikiant šias paslaugas, sumą pagal Taisyklių 2 priede pateiktą formą, jei teikėjas įpareigotas teikti įperkamas universaliąsias paslaugas;</w:t>
      </w:r>
    </w:p>
    <w:p>
      <w:pPr>
        <w:ind w:firstLine="709"/>
        <w:jc w:val="both"/>
        <w:rPr>
          <w:szCs w:val="24"/>
        </w:rPr>
      </w:pPr>
      <w:r>
        <w:rPr>
          <w:szCs w:val="24"/>
        </w:rPr>
        <w:t>5.5</w:t>
      </w:r>
      <w:r>
        <w:rPr>
          <w:szCs w:val="24"/>
        </w:rPr>
        <w:t>. nematerialios naudos įvertinimo ataskaitą pagal Taisyklių 3 priede pateiktą formą, įskaitant nematerialios naudos skaičiavimuose taikytų metodų ir (arba) modelių aprašus su prielaidomis ir informacijos šaltiniais, nematerialios naudos skaičiavimų rezultatus ir skaičiavimus lydinčius dokumentus.</w:t>
      </w:r>
    </w:p>
    <w:p>
      <w:pPr>
        <w:jc w:val="both"/>
        <w:rPr>
          <w:szCs w:val="24"/>
        </w:rPr>
      </w:pPr>
    </w:p>
    <w:p>
      <w:pPr>
        <w:jc w:val="center"/>
        <w:rPr>
          <w:b/>
          <w:bCs/>
          <w:caps/>
          <w:szCs w:val="24"/>
        </w:rPr>
      </w:pPr>
      <w:r>
        <w:rPr>
          <w:b/>
          <w:bCs/>
          <w:caps/>
          <w:szCs w:val="24"/>
        </w:rPr>
        <w:t>II</w:t>
      </w:r>
      <w:r>
        <w:rPr>
          <w:b/>
          <w:bCs/>
          <w:caps/>
          <w:szCs w:val="24"/>
        </w:rPr>
        <w:t xml:space="preserve"> SKYRIUS</w:t>
      </w:r>
    </w:p>
    <w:p>
      <w:pPr>
        <w:jc w:val="center"/>
        <w:rPr>
          <w:b/>
          <w:bCs/>
          <w:caps/>
          <w:szCs w:val="24"/>
        </w:rPr>
      </w:pPr>
      <w:r>
        <w:rPr>
          <w:b/>
          <w:bCs/>
          <w:caps/>
          <w:szCs w:val="24"/>
        </w:rPr>
        <w:t>universaliųjų paslaugų teikimo nuostolių ir (ARBA) įperkamų universaliųjų paslaugų teikimo nuostolių APSKAIČIAVIMO BENDRIEJI REIKALAVIMAI</w:t>
      </w:r>
    </w:p>
    <w:p>
      <w:pPr>
        <w:ind w:firstLine="312"/>
        <w:jc w:val="both"/>
        <w:rPr>
          <w:b/>
          <w:bCs/>
          <w:szCs w:val="24"/>
        </w:rPr>
      </w:pPr>
    </w:p>
    <w:p>
      <w:pPr>
        <w:ind w:firstLine="709"/>
        <w:jc w:val="both"/>
        <w:rPr>
          <w:szCs w:val="24"/>
        </w:rPr>
      </w:pPr>
      <w:r>
        <w:rPr>
          <w:szCs w:val="24"/>
        </w:rPr>
        <w:t>6</w:t>
      </w:r>
      <w:r>
        <w:rPr>
          <w:szCs w:val="24"/>
        </w:rPr>
        <w:t>. Teikėjas, skaičiuodamas universaliųjų paslaugų teikimo nuostolius ir (arba) įperkamų universaliųjų paslaugų teikimo nuostolius, turi nustatyti tuos nuostolius, kuriuos teikėjas patiria dėl įpareigojimo užtikrinti universaliųjų paslaugų prieinamumą ir teikti universaliąsias paslaugas ir (arba) įpareigojimo teikti įperkamas universaliąsias paslaugas.</w:t>
      </w:r>
    </w:p>
    <w:p>
      <w:pPr>
        <w:ind w:firstLine="709"/>
        <w:jc w:val="both"/>
        <w:rPr>
          <w:szCs w:val="24"/>
        </w:rPr>
      </w:pPr>
      <w:r>
        <w:rPr>
          <w:szCs w:val="24"/>
        </w:rPr>
        <w:t>7</w:t>
      </w:r>
      <w:r>
        <w:rPr>
          <w:szCs w:val="24"/>
        </w:rPr>
        <w:t xml:space="preserve">. Universaliųjų paslaugų teikimo nuostoliai ir (arba) įperkamų universaliųjų paslaugų teikimo nuostoliai turi būti įvertinti ir apskaičiuoti atskirai. </w:t>
      </w:r>
    </w:p>
    <w:p>
      <w:pPr>
        <w:ind w:firstLine="709"/>
        <w:jc w:val="both"/>
        <w:rPr>
          <w:szCs w:val="24"/>
        </w:rPr>
      </w:pPr>
      <w:r>
        <w:rPr>
          <w:szCs w:val="24"/>
        </w:rPr>
        <w:t>8</w:t>
      </w:r>
      <w:r>
        <w:rPr>
          <w:szCs w:val="24"/>
        </w:rPr>
        <w:t>. Teikėjas, įpareigotas užtikrinti universaliųjų paslaugų prieinamumą ir teikti universaliąsias paslaugas ir įperkamas universaliąsias paslaugas, nematerialią naudą turi apskaičiuoti tik vieną kartą bendrai universaliųjų paslaugų teikimo nuostolių ir įperkamų universaliųjų paslaugų teikimo nuostolių sumai.</w:t>
      </w:r>
    </w:p>
    <w:p>
      <w:pPr>
        <w:ind w:firstLine="709"/>
        <w:jc w:val="both"/>
        <w:rPr>
          <w:szCs w:val="24"/>
        </w:rPr>
      </w:pPr>
      <w:r>
        <w:rPr>
          <w:szCs w:val="24"/>
        </w:rPr>
        <w:t>9</w:t>
      </w:r>
      <w:r>
        <w:rPr>
          <w:szCs w:val="24"/>
        </w:rPr>
        <w:t xml:space="preserve">. Teikėjas, skaičiuodamas nematerialią naudą, privalo taikyti ekonomiškai pagrįstus metodus ir (arba) modelius, remtis savo apskaitos sistemoje sukauptais duomenimis bei Lietuvos statistikos departamento, Europos Sąjungos statistikos institucijos (EUROSTAT) ar kitų, nematerialiai naudai apskaičiuoti reikalingus duomenis kaupiančių, institucijų duomenimis. </w:t>
      </w:r>
    </w:p>
    <w:p>
      <w:pPr>
        <w:ind w:firstLine="709"/>
        <w:jc w:val="both"/>
        <w:rPr>
          <w:szCs w:val="24"/>
        </w:rPr>
      </w:pPr>
      <w:r>
        <w:rPr>
          <w:szCs w:val="24"/>
        </w:rPr>
        <w:t>10</w:t>
      </w:r>
      <w:r>
        <w:rPr>
          <w:szCs w:val="24"/>
        </w:rPr>
        <w:t>. Teikėjas, skaičiuodamas nematerialios naudos dydį, turi įvertinti bent šias nematerialios naudos rūšis:</w:t>
      </w:r>
    </w:p>
    <w:p>
      <w:pPr>
        <w:ind w:firstLine="709"/>
        <w:jc w:val="both"/>
        <w:rPr>
          <w:szCs w:val="24"/>
        </w:rPr>
      </w:pPr>
      <w:r>
        <w:rPr>
          <w:szCs w:val="24"/>
        </w:rPr>
        <w:t>10.1</w:t>
      </w:r>
      <w:r>
        <w:rPr>
          <w:szCs w:val="24"/>
        </w:rPr>
        <w:t>. reklamos naudą, kuri apima pajamas, gautas iš reklamos universaliųjų paslaugų ir (arba) įperkamų universaliųjų paslaugų teikimo metu, sumažintas sąnaudų, patirtų teikiant universaliąsias paslaugas ir (arba) įperkamas universaliąsias paslaugas, dydžiu; reklamos nauda neapima teikėjo savireklamos teikiamos naudos;</w:t>
      </w:r>
    </w:p>
    <w:p>
      <w:pPr>
        <w:ind w:firstLine="709"/>
        <w:jc w:val="both"/>
        <w:rPr>
          <w:szCs w:val="24"/>
        </w:rPr>
      </w:pPr>
      <w:r>
        <w:rPr>
          <w:szCs w:val="24"/>
        </w:rPr>
        <w:t>10.2</w:t>
      </w:r>
      <w:r>
        <w:rPr>
          <w:szCs w:val="24"/>
        </w:rPr>
        <w:t>. reputacijos naudą, kuri apima savireklamos teikiamą naudą; reputacijos naudos dydis turi būti siejamas su išlaidomis rinkodarai ir rėmimui, kuriomis būtų siekiama gauti tokią pačią naudą nesant įpareigojimo užtikrinti universaliųjų paslaugų prieinamumą ir teikti universaliąsias paslaugas ir (arba) įpareigojimo teikti įperkamas universaliąsias paslaugas;</w:t>
      </w:r>
    </w:p>
    <w:p>
      <w:pPr>
        <w:ind w:firstLine="709"/>
        <w:jc w:val="both"/>
        <w:rPr>
          <w:szCs w:val="24"/>
        </w:rPr>
      </w:pPr>
      <w:r>
        <w:rPr>
          <w:szCs w:val="24"/>
        </w:rPr>
        <w:t>10.3</w:t>
      </w:r>
      <w:r>
        <w:rPr>
          <w:szCs w:val="24"/>
        </w:rPr>
        <w:t>. kitą nematerialią naudą, susijusią su įpareigojimo užtikrinti universaliųjų paslaugų prieinamumą ir teikti universaliąsias paslaugas ir (arba) įpareigojimo teikti įperkamas universaliąsias paslaugas vykdymu, jeigu tokia yra nustatoma.</w:t>
      </w:r>
    </w:p>
    <w:p>
      <w:pPr>
        <w:ind w:firstLine="709"/>
        <w:jc w:val="both"/>
        <w:rPr>
          <w:szCs w:val="24"/>
        </w:rPr>
      </w:pPr>
      <w:r>
        <w:rPr>
          <w:szCs w:val="24"/>
        </w:rPr>
        <w:t>11</w:t>
      </w:r>
      <w:r>
        <w:rPr>
          <w:szCs w:val="24"/>
        </w:rPr>
        <w:t>. Nemateriali nauda turi būti nustatoma, sumuojant visų Taisyklių 10 punkte nurodytų nematerialios naudos rūšių pinigines vertes.</w:t>
      </w:r>
    </w:p>
    <w:p>
      <w:pPr>
        <w:ind w:firstLine="709"/>
        <w:jc w:val="both"/>
        <w:rPr>
          <w:szCs w:val="24"/>
        </w:rPr>
      </w:pPr>
      <w:r>
        <w:rPr>
          <w:szCs w:val="24"/>
        </w:rPr>
        <w:t>12</w:t>
      </w:r>
      <w:r>
        <w:rPr>
          <w:szCs w:val="24"/>
        </w:rPr>
        <w:t>. Teikėjas sąnaudas, patirtas teikiant universaliąsias paslaugas ir (arba) įperkamas universaliąsias paslaugas, turi apskaityti bei paskirstyti universaliosioms paslaugoms ir (arba) įperkamoms universaliosioms paslaugoms vadovaudamasis Sąnaudų apskaitos taisyklių reikalavimais.</w:t>
      </w:r>
    </w:p>
    <w:p>
      <w:pPr>
        <w:ind w:firstLine="709"/>
        <w:jc w:val="both"/>
        <w:rPr>
          <w:szCs w:val="24"/>
        </w:rPr>
      </w:pPr>
      <w:r>
        <w:rPr>
          <w:szCs w:val="24"/>
        </w:rPr>
        <w:t>13</w:t>
      </w:r>
      <w:r>
        <w:rPr>
          <w:szCs w:val="24"/>
        </w:rPr>
        <w:t xml:space="preserve">. Universaliųjų paslaugų ir (arba) įperkamų universaliųjų paslaugų atskyrimas turi būti vykdomas vadovaujantis Apskaitos atskyrimo taisyklių reikalavimais. </w:t>
      </w:r>
    </w:p>
    <w:p>
      <w:pPr>
        <w:ind w:firstLine="709"/>
        <w:jc w:val="both"/>
        <w:rPr>
          <w:szCs w:val="24"/>
        </w:rPr>
      </w:pPr>
      <w:r>
        <w:rPr>
          <w:szCs w:val="24"/>
        </w:rPr>
        <w:t>14</w:t>
      </w:r>
      <w:r>
        <w:rPr>
          <w:szCs w:val="24"/>
        </w:rPr>
        <w:t>. Teikėjas į sąnaudas, patirtas teikiant universaliąsias paslaugas ir (arba) įperkamas universaliąsias paslaugas, turi įtraukti protingumo kriterijų atitinkančią investicijų grąžą, kuri apskaičiuojama pagal Sąnaudų apskaitos taisyklių reikalavimus.</w:t>
      </w:r>
    </w:p>
    <w:p>
      <w:pPr>
        <w:ind w:firstLine="709"/>
        <w:jc w:val="both"/>
        <w:rPr>
          <w:szCs w:val="24"/>
        </w:rPr>
      </w:pPr>
      <w:r>
        <w:rPr>
          <w:szCs w:val="24"/>
        </w:rPr>
        <w:t>15</w:t>
      </w:r>
      <w:r>
        <w:rPr>
          <w:szCs w:val="24"/>
        </w:rPr>
        <w:t>. Teikėjas turi neįskaityti bendrųjų sąnaudų dalies, kuri būtų patiriama net tuomet, jei teikėjas nebūtų įpareigotas užtikrinti universaliųjų paslaugų prieinamumą ir teikti universaliąsias paslaugas ir (arba) įperkamas universaliąsias paslaugas.</w:t>
      </w:r>
    </w:p>
    <w:p>
      <w:pPr>
        <w:ind w:firstLine="709"/>
        <w:jc w:val="both"/>
        <w:rPr>
          <w:szCs w:val="24"/>
        </w:rPr>
      </w:pPr>
      <w:r>
        <w:rPr>
          <w:szCs w:val="24"/>
        </w:rPr>
        <w:t>16</w:t>
      </w:r>
      <w:r>
        <w:rPr>
          <w:szCs w:val="24"/>
        </w:rPr>
        <w:t>. Teikėjas, skaičiuodamas universaliųjų paslaugų teikimo nuostolius ir (arba) įperkamų universaliųjų paslaugų teikimo nuostolius, privalo atskirai išskirti pajamas ir (arba) sąnaudas, priskirtinas kalbinio ryšio paslaugoms, teikiamoms fiksuotoje vietoje, ir pakankamos plačiajuostės interneto prieigos paslaugoms, teikiamoms fiksuotoje vietoje.</w:t>
      </w:r>
    </w:p>
    <w:p>
      <w:pPr>
        <w:ind w:firstLine="709"/>
        <w:jc w:val="both"/>
      </w:pPr>
      <w:r>
        <w:rPr>
          <w:szCs w:val="24"/>
        </w:rPr>
        <w:t>17</w:t>
      </w:r>
      <w:r>
        <w:rPr>
          <w:szCs w:val="24"/>
        </w:rPr>
        <w:t>.</w:t>
      </w:r>
      <w:r>
        <w:t xml:space="preserve"> Teikėjas, vertindamas nesąžiningą naštą, susijusią su įpareigojimu užtikrinti universaliųjų paslaugų prieinamumą ir teikti </w:t>
      </w:r>
      <w:r>
        <w:rPr>
          <w:szCs w:val="24"/>
        </w:rPr>
        <w:t>universaliąsias paslaugas ir (arba) įpareigojimu teikti įperkamas universaliąsias paslaugas</w:t>
      </w:r>
      <w:r>
        <w:t>, turi atsižvelgti į šiuos kriterijus:</w:t>
      </w:r>
    </w:p>
    <w:p>
      <w:pPr>
        <w:ind w:firstLine="709"/>
        <w:jc w:val="both"/>
        <w:rPr>
          <w:szCs w:val="24"/>
        </w:rPr>
      </w:pPr>
      <w:r>
        <w:rPr>
          <w:szCs w:val="24"/>
        </w:rPr>
        <w:t>17.1</w:t>
      </w:r>
      <w:r>
        <w:rPr>
          <w:szCs w:val="24"/>
        </w:rPr>
        <w:t>. teikėjo užimamas atitinkamų Universaliųjų paslaugų teikimo taisyklių 4 punkte nurodytų universaliųjų paslaugų rinkų dalis; kiekvienos rinkos dalis pagal gaunamas teikėjo pajamas arba galutinių viešųjų elektroninių ryšių paslaugų gavėjų skaičių turi būti mažesnės nei 20 procentų;</w:t>
      </w:r>
    </w:p>
    <w:p>
      <w:pPr>
        <w:ind w:firstLine="709"/>
        <w:jc w:val="both"/>
        <w:rPr>
          <w:szCs w:val="24"/>
        </w:rPr>
      </w:pPr>
      <w:r>
        <w:rPr>
          <w:szCs w:val="24"/>
        </w:rPr>
        <w:t>17.2</w:t>
      </w:r>
      <w:r>
        <w:rPr>
          <w:szCs w:val="24"/>
        </w:rPr>
        <w:t>. pelno prieš palūkanas, mokesčius, nusidėvėjimą bei amortizaciją (toliau – EBITDA pelnas) dalį, kurią sudaro universaliųjų paslaugų teikimo nuostoliai ir (arba) įperkamų universaliųjų paslaugų teikimo nuostoliai; šių nuostolių dydžio ir teikėjo per ataskaitinį laikotarpį uždirbto EBITDA pelno procentinis santykis turi viršyti 3 proc.</w:t>
      </w:r>
    </w:p>
    <w:p>
      <w:pPr>
        <w:ind w:firstLine="709"/>
        <w:jc w:val="both"/>
        <w:rPr>
          <w:szCs w:val="24"/>
        </w:rPr>
      </w:pPr>
      <w:r>
        <w:rPr>
          <w:szCs w:val="24"/>
        </w:rPr>
        <w:t>18</w:t>
      </w:r>
      <w:r>
        <w:rPr>
          <w:szCs w:val="24"/>
        </w:rPr>
        <w:t>. Jeigu teikėjas įrodo, kad jis tenkina bent vieną iš Taisyklių 17 punkte nurodytų nesąžiningos naštos vertinimo kriterijų, laikoma, kad universaliųjų paslaugų teikimo nuostoliai ir (arba) įperkamų universaliųjų paslaugų teikimo nuostoliai jam yra nesąžininga našta.</w:t>
      </w:r>
    </w:p>
    <w:p>
      <w:pPr>
        <w:ind w:firstLine="312"/>
        <w:jc w:val="both"/>
        <w:rPr>
          <w:szCs w:val="24"/>
        </w:rPr>
      </w:pPr>
    </w:p>
    <w:p>
      <w:pPr>
        <w:keepNext/>
        <w:jc w:val="center"/>
        <w:rPr>
          <w:b/>
          <w:bCs/>
          <w:caps/>
          <w:szCs w:val="24"/>
        </w:rPr>
      </w:pPr>
      <w:r>
        <w:rPr>
          <w:b/>
          <w:bCs/>
          <w:caps/>
          <w:szCs w:val="24"/>
        </w:rPr>
        <w:t>III</w:t>
      </w:r>
      <w:r>
        <w:rPr>
          <w:b/>
          <w:bCs/>
          <w:caps/>
          <w:szCs w:val="24"/>
        </w:rPr>
        <w:t xml:space="preserve"> SKYRIUS</w:t>
      </w:r>
    </w:p>
    <w:p>
      <w:pPr>
        <w:keepNext/>
        <w:jc w:val="center"/>
        <w:rPr>
          <w:b/>
          <w:bCs/>
          <w:caps/>
          <w:szCs w:val="24"/>
        </w:rPr>
      </w:pPr>
      <w:r>
        <w:rPr>
          <w:b/>
          <w:bCs/>
          <w:caps/>
          <w:szCs w:val="24"/>
        </w:rPr>
        <w:t>universaliųjų paslaugų teikimo NUOSTOLIŲ NUSTATYMO TVARKA</w:t>
      </w:r>
    </w:p>
    <w:p>
      <w:pPr>
        <w:keepNext/>
        <w:ind w:firstLine="312"/>
        <w:jc w:val="both"/>
        <w:rPr>
          <w:szCs w:val="24"/>
        </w:rPr>
      </w:pPr>
    </w:p>
    <w:p>
      <w:pPr>
        <w:keepNext/>
        <w:ind w:firstLine="709"/>
        <w:jc w:val="both"/>
      </w:pPr>
      <w:r>
        <w:rPr>
          <w:szCs w:val="24"/>
        </w:rPr>
        <w:t>19</w:t>
      </w:r>
      <w:r>
        <w:rPr>
          <w:szCs w:val="24"/>
        </w:rPr>
        <w:t xml:space="preserve">. </w:t>
      </w:r>
      <w:r>
        <w:t xml:space="preserve">Teikėjas, siekdamas nustatyti </w:t>
      </w:r>
      <w:r>
        <w:rPr>
          <w:szCs w:val="24"/>
        </w:rPr>
        <w:t xml:space="preserve">universaliųjų paslaugų teikimo </w:t>
      </w:r>
      <w:r>
        <w:t>nuostolių dydį, turi apskaičiuoti grynąsias sąnaudas.</w:t>
      </w:r>
    </w:p>
    <w:p>
      <w:pPr>
        <w:ind w:firstLine="709"/>
        <w:jc w:val="both"/>
      </w:pPr>
      <w:r>
        <w:t>20</w:t>
      </w:r>
      <w:r>
        <w:t>. Grynosios sąnaudos turi būti apskaičiuojamos atskirai, kai jos patirtos:</w:t>
      </w:r>
    </w:p>
    <w:p>
      <w:pPr>
        <w:ind w:firstLine="709"/>
        <w:jc w:val="both"/>
      </w:pPr>
      <w:r>
        <w:t>20.1</w:t>
      </w:r>
      <w:r>
        <w:t xml:space="preserve">. dėl įpareigojimo užtikrinti universaliųjų paslaugų prieinamumą ir teikti </w:t>
      </w:r>
      <w:r>
        <w:rPr>
          <w:szCs w:val="24"/>
        </w:rPr>
        <w:t xml:space="preserve">universaliąsias paslaugas </w:t>
      </w:r>
      <w:r>
        <w:t>ataskaitiniu laikotarpiu;</w:t>
      </w:r>
    </w:p>
    <w:p>
      <w:pPr>
        <w:ind w:firstLine="709"/>
        <w:jc w:val="both"/>
      </w:pPr>
      <w:r>
        <w:t>20.2</w:t>
      </w:r>
      <w:r>
        <w:t xml:space="preserve">. nesant įpareigojimo užtikrinti universaliųjų paslaugų prieinamumą ir teikti </w:t>
      </w:r>
      <w:r>
        <w:rPr>
          <w:szCs w:val="24"/>
        </w:rPr>
        <w:t xml:space="preserve">universaliąsias paslaugas </w:t>
      </w:r>
      <w:r>
        <w:t>ataskaitiniu laikotarpiu.</w:t>
      </w:r>
    </w:p>
    <w:p>
      <w:pPr>
        <w:ind w:firstLine="709"/>
        <w:jc w:val="both"/>
      </w:pPr>
      <w:r>
        <w:t>21</w:t>
      </w:r>
      <w:r>
        <w:t>. Skaičiuodamas grynąsias sąnaudas, teikėjas turi išskirti:</w:t>
      </w:r>
    </w:p>
    <w:p>
      <w:pPr>
        <w:ind w:firstLine="709"/>
        <w:jc w:val="both"/>
      </w:pPr>
      <w:r>
        <w:t>21.1</w:t>
      </w:r>
      <w:r>
        <w:t>. pastovias ribines sąnaudas, kurios tiesiogiai susijusios su atitinkamos paslaugos teikimu ir kurios nepriklauso nuo suteiktų paslaugų kiekio;</w:t>
      </w:r>
    </w:p>
    <w:p>
      <w:pPr>
        <w:ind w:firstLine="709"/>
        <w:jc w:val="both"/>
      </w:pPr>
      <w:r>
        <w:t>21.2</w:t>
      </w:r>
      <w:r>
        <w:t>. kintamas ribines sąnaudas, kurios tiesiogiai susijusios su atitinkamos paslaugos teikimu ir kinta priklausomai nuo suteiktų paslaugų kiekio.</w:t>
      </w:r>
    </w:p>
    <w:p>
      <w:pPr>
        <w:ind w:firstLine="709"/>
        <w:jc w:val="both"/>
        <w:rPr>
          <w:szCs w:val="24"/>
        </w:rPr>
      </w:pPr>
      <w:r>
        <w:rPr>
          <w:szCs w:val="24"/>
        </w:rPr>
        <w:t>22</w:t>
      </w:r>
      <w:r>
        <w:rPr>
          <w:szCs w:val="24"/>
        </w:rPr>
        <w:t xml:space="preserve">. Teikėjas kiekvienos ataskaitiniu laikotarpiu suteiktos universaliosios paslaugos grynąsias sąnaudas turi išskirti pagal Taisyklių 16 punkto nuostatas. </w:t>
      </w:r>
    </w:p>
    <w:p>
      <w:pPr>
        <w:ind w:firstLine="709"/>
        <w:jc w:val="both"/>
        <w:rPr>
          <w:szCs w:val="24"/>
        </w:rPr>
      </w:pPr>
      <w:r>
        <w:rPr>
          <w:szCs w:val="24"/>
        </w:rPr>
        <w:t>23</w:t>
      </w:r>
      <w:r>
        <w:rPr>
          <w:szCs w:val="24"/>
        </w:rPr>
        <w:t>. Teikėjas turi nustatyti ataskaitinio laikotarpio universaliųjų paslaugų, kurias įpareigotas teikti, vienetų skaičių bei bendrą grynųjų sąnaudų, patirtų jas teikiant, sumą.</w:t>
      </w:r>
    </w:p>
    <w:p>
      <w:pPr>
        <w:ind w:firstLine="709"/>
        <w:jc w:val="both"/>
        <w:rPr>
          <w:szCs w:val="24"/>
        </w:rPr>
      </w:pPr>
      <w:r>
        <w:rPr>
          <w:szCs w:val="24"/>
        </w:rPr>
        <w:t>24</w:t>
      </w:r>
      <w:r>
        <w:rPr>
          <w:szCs w:val="24"/>
        </w:rPr>
        <w:t>. Teikėjas universaliųjų paslaugų teikimo nuostolius (PN) turi apskaičiuoti pagal šią formulę:</w:t>
      </w:r>
    </w:p>
    <w:p>
      <w:pPr>
        <w:ind w:firstLine="709"/>
        <w:jc w:val="both"/>
        <w:rPr>
          <w:szCs w:val="24"/>
        </w:rPr>
      </w:pPr>
    </w:p>
    <w:p>
      <w:pPr>
        <w:ind w:firstLine="709"/>
        <w:jc w:val="center"/>
        <w:rPr>
          <w:sz w:val="32"/>
          <w:szCs w:val="32"/>
        </w:rPr>
      </w:pPr>
      <m:oMath>
        <m:r>
          <m:rPr>
            <m:sty m:val="bi"/>
          </m:rPr>
          <w:rPr>
            <w:rFonts w:ascii="Cambria Math"/>
            <w:szCs w:val="24"/>
          </w:rPr>
          <m:t>PN</m:t>
        </m:r>
        <m:r>
          <m:rPr>
            <m:sty m:val="bi"/>
          </m:rPr>
          <w:rPr>
            <w:rFonts w:ascii="Cambria Math"/>
            <w:szCs w:val="24"/>
          </w:rPr>
          <m:t>=</m:t>
        </m:r>
        <m:nary>
          <m:naryPr>
            <m:chr m:val="∑"/>
            <m:ctrlPr>
              <w:rPr>
                <w:rFonts w:ascii="Cambria Math" w:hAnsi="Cambria Math"/>
                <w:b/>
                <w:bCs/>
                <w:i/>
                <w:szCs w:val="24"/>
              </w:rPr>
            </m:ctrlPr>
          </m:naryPr>
          <m:sub>
            <m:r>
              <m:rPr>
                <m:sty m:val="bi"/>
              </m:rPr>
              <w:rPr>
                <w:rFonts w:ascii="Cambria Math"/>
                <w:szCs w:val="24"/>
              </w:rPr>
              <m:t>i</m:t>
            </m:r>
            <m:r>
              <m:rPr>
                <m:sty m:val="bi"/>
              </m:rPr>
              <w:rPr>
                <w:rFonts w:ascii="Cambria Math"/>
                <w:szCs w:val="24"/>
              </w:rPr>
              <m:t>=</m:t>
            </m:r>
            <m:r>
              <m:rPr>
                <m:sty m:val="bi"/>
              </m:rPr>
              <w:rPr>
                <w:rFonts w:ascii="Cambria Math"/>
                <w:szCs w:val="24"/>
              </w:rPr>
              <m:t>1</m:t>
            </m:r>
          </m:sub>
          <m:sup>
            <m:r>
              <m:rPr>
                <m:sty m:val="bi"/>
              </m:rPr>
              <w:rPr>
                <w:rFonts w:ascii="Cambria Math"/>
                <w:szCs w:val="24"/>
              </w:rPr>
              <m:t>n</m:t>
            </m:r>
          </m:sup>
          <m:e>
            <m:d>
              <m:dPr>
                <m:begChr m:val="["/>
                <m:endChr m:val="]"/>
                <m:ctrlPr>
                  <w:rPr>
                    <w:rFonts w:ascii="Cambria Math" w:hAnsi="Cambria Math"/>
                    <w:b/>
                    <w:bCs/>
                    <w:i/>
                    <w:szCs w:val="24"/>
                  </w:rPr>
                </m:ctrlPr>
              </m:dPr>
              <m:e>
                <m:r>
                  <m:rPr>
                    <m:sty m:val="bi"/>
                  </m:rPr>
                  <w:rPr>
                    <w:rFonts w:ascii="Cambria Math" w:hAnsi="Cambria Math"/>
                    <w:szCs w:val="24"/>
                  </w:rPr>
                  <m:t>(</m:t>
                </m:r>
                <m:f>
                  <m:fPr>
                    <m:ctrlPr>
                      <w:rPr>
                        <w:rFonts w:ascii="Cambria Math" w:hAnsi="Cambria Math"/>
                        <w:b/>
                        <w:i/>
                        <w:szCs w:val="24"/>
                      </w:rPr>
                    </m:ctrlPr>
                  </m:fPr>
                  <m:num>
                    <m:r>
                      <m:rPr>
                        <m:sty m:val="b"/>
                      </m:rPr>
                      <w:rPr>
                        <w:rFonts w:ascii="Cambria Math"/>
                        <w:szCs w:val="24"/>
                      </w:rPr>
                      <m:t>Δ</m:t>
                    </m:r>
                    <m:sSub>
                      <m:sSubPr>
                        <m:ctrlPr>
                          <w:rPr>
                            <w:rFonts w:ascii="Cambria Math" w:hAnsi="Cambria Math"/>
                            <w:b/>
                            <w:bCs/>
                            <w:i/>
                            <w:szCs w:val="24"/>
                          </w:rPr>
                        </m:ctrlPr>
                      </m:sSubPr>
                      <m:e>
                        <m:r>
                          <m:rPr>
                            <m:sty m:val="bi"/>
                          </m:rPr>
                          <w:rPr>
                            <w:rFonts w:ascii="Cambria Math"/>
                            <w:szCs w:val="24"/>
                          </w:rPr>
                          <m:t>C</m:t>
                        </m:r>
                      </m:e>
                      <m:sub>
                        <m:r>
                          <m:rPr>
                            <m:sty m:val="bi"/>
                          </m:rPr>
                          <w:rPr>
                            <w:rFonts w:ascii="Cambria Math"/>
                            <w:szCs w:val="24"/>
                          </w:rPr>
                          <m:t>i</m:t>
                        </m:r>
                      </m:sub>
                    </m:sSub>
                  </m:num>
                  <m:den>
                    <m:r>
                      <m:rPr>
                        <m:sty m:val="b"/>
                      </m:rPr>
                      <w:rPr>
                        <w:rFonts w:ascii="Cambria Math"/>
                        <w:szCs w:val="24"/>
                      </w:rPr>
                      <m:t>Δ</m:t>
                    </m:r>
                    <m:sSub>
                      <m:sSubPr>
                        <m:ctrlPr>
                          <w:rPr>
                            <w:rFonts w:ascii="Cambria Math" w:hAnsi="Cambria Math"/>
                            <w:b/>
                            <w:bCs/>
                            <w:i/>
                            <w:szCs w:val="24"/>
                          </w:rPr>
                        </m:ctrlPr>
                      </m:sSubPr>
                      <m:e>
                        <m:r>
                          <m:rPr>
                            <m:sty m:val="bi"/>
                          </m:rPr>
                          <w:rPr>
                            <w:rFonts w:ascii="Cambria Math"/>
                            <w:szCs w:val="24"/>
                          </w:rPr>
                          <m:t>Q</m:t>
                        </m:r>
                      </m:e>
                      <m:sub>
                        <m:r>
                          <m:rPr>
                            <m:sty m:val="bi"/>
                          </m:rPr>
                          <w:rPr>
                            <w:rFonts w:ascii="Cambria Math"/>
                            <w:szCs w:val="24"/>
                          </w:rPr>
                          <m:t>i</m:t>
                        </m:r>
                      </m:sub>
                    </m:sSub>
                  </m:den>
                </m:f>
                <m:r>
                  <m:rPr>
                    <m:sty m:val="bi"/>
                  </m:rPr>
                  <w:rPr>
                    <w:rFonts w:ascii="Cambria Math"/>
                    <w:szCs w:val="24"/>
                  </w:rPr>
                  <m:t>)</m:t>
                </m:r>
                <m:r>
                  <m:rPr>
                    <m:sty m:val="bi"/>
                  </m:rPr>
                  <w:rPr>
                    <w:rFonts w:ascii="Cambria Math"/>
                    <w:szCs w:val="24"/>
                  </w:rPr>
                  <m:t>-</m:t>
                </m:r>
                <m:r>
                  <m:rPr>
                    <m:sty m:val="bi"/>
                  </m:rPr>
                  <w:rPr>
                    <w:rFonts w:ascii="Cambria Math"/>
                    <w:szCs w:val="24"/>
                  </w:rPr>
                  <m:t>(</m:t>
                </m:r>
                <m:f>
                  <m:fPr>
                    <m:ctrlPr>
                      <w:rPr>
                        <w:rFonts w:ascii="Cambria Math" w:hAnsi="Cambria Math"/>
                        <w:b/>
                        <w:i/>
                        <w:szCs w:val="24"/>
                      </w:rPr>
                    </m:ctrlPr>
                  </m:fPr>
                  <m:num>
                    <m:r>
                      <m:rPr>
                        <m:sty m:val="b"/>
                      </m:rPr>
                      <w:rPr>
                        <w:rFonts w:ascii="Cambria Math" w:hAnsi="Cambria Math"/>
                        <w:szCs w:val="24"/>
                      </w:rPr>
                      <m:t>Δ</m:t>
                    </m:r>
                    <m:sSub>
                      <m:sSubPr>
                        <m:ctrlPr>
                          <w:rPr>
                            <w:rFonts w:ascii="Cambria Math" w:hAnsi="Cambria Math"/>
                            <w:b/>
                            <w:bCs/>
                            <w:i/>
                            <w:szCs w:val="24"/>
                          </w:rPr>
                        </m:ctrlPr>
                      </m:sSubPr>
                      <m:e>
                        <m:r>
                          <m:rPr>
                            <m:sty m:val="bi"/>
                          </m:rPr>
                          <w:rPr>
                            <w:rFonts w:ascii="Cambria Math"/>
                            <w:szCs w:val="24"/>
                          </w:rPr>
                          <m:t>C</m:t>
                        </m:r>
                      </m:e>
                      <m:sub>
                        <m:sSub>
                          <m:sSubPr>
                            <m:ctrlPr>
                              <w:rPr>
                                <w:rFonts w:ascii="Cambria Math" w:hAnsi="Cambria Math"/>
                                <w:b/>
                                <w:bCs/>
                                <w:i/>
                                <w:szCs w:val="24"/>
                              </w:rPr>
                            </m:ctrlPr>
                          </m:sSubPr>
                          <m:e>
                            <m:r>
                              <m:rPr>
                                <m:sty m:val="bi"/>
                              </m:rPr>
                              <w:rPr>
                                <w:rFonts w:ascii="Cambria Math"/>
                                <w:szCs w:val="24"/>
                              </w:rPr>
                              <m:t>N</m:t>
                            </m:r>
                          </m:e>
                          <m:sub>
                            <m:r>
                              <m:rPr>
                                <m:sty m:val="bi"/>
                              </m:rPr>
                              <w:rPr>
                                <w:rFonts w:ascii="Cambria Math"/>
                                <w:szCs w:val="24"/>
                              </w:rPr>
                              <m:t>i</m:t>
                            </m:r>
                          </m:sub>
                        </m:sSub>
                      </m:sub>
                    </m:sSub>
                  </m:num>
                  <m:den>
                    <m:r>
                      <m:rPr>
                        <m:sty m:val="b"/>
                      </m:rPr>
                      <w:rPr>
                        <w:rFonts w:ascii="Cambria Math" w:hAnsi="Cambria Math"/>
                        <w:szCs w:val="24"/>
                      </w:rPr>
                      <m:t>Δ</m:t>
                    </m:r>
                    <m:sSub>
                      <m:sSubPr>
                        <m:ctrlPr>
                          <w:rPr>
                            <w:rFonts w:ascii="Cambria Math" w:hAnsi="Cambria Math"/>
                            <w:b/>
                            <w:bCs/>
                            <w:i/>
                            <w:szCs w:val="24"/>
                          </w:rPr>
                        </m:ctrlPr>
                      </m:sSubPr>
                      <m:e>
                        <m:r>
                          <m:rPr>
                            <m:sty m:val="bi"/>
                          </m:rPr>
                          <w:rPr>
                            <w:rFonts w:ascii="Cambria Math"/>
                            <w:szCs w:val="24"/>
                          </w:rPr>
                          <m:t>Q</m:t>
                        </m:r>
                      </m:e>
                      <m:sub>
                        <m:sSub>
                          <m:sSubPr>
                            <m:ctrlPr>
                              <w:rPr>
                                <w:rFonts w:ascii="Cambria Math" w:hAnsi="Cambria Math"/>
                                <w:b/>
                                <w:bCs/>
                                <w:i/>
                                <w:szCs w:val="24"/>
                              </w:rPr>
                            </m:ctrlPr>
                          </m:sSubPr>
                          <m:e>
                            <m:r>
                              <m:rPr>
                                <m:sty m:val="bi"/>
                              </m:rPr>
                              <w:rPr>
                                <w:rFonts w:ascii="Cambria Math"/>
                                <w:szCs w:val="24"/>
                              </w:rPr>
                              <m:t>N</m:t>
                            </m:r>
                          </m:e>
                          <m:sub>
                            <m:r>
                              <m:rPr>
                                <m:sty m:val="bi"/>
                              </m:rPr>
                              <w:rPr>
                                <w:rFonts w:ascii="Cambria Math"/>
                                <w:szCs w:val="24"/>
                              </w:rPr>
                              <m:t>i</m:t>
                            </m:r>
                          </m:sub>
                        </m:sSub>
                      </m:sub>
                    </m:sSub>
                  </m:den>
                </m:f>
                <m:r>
                  <m:rPr>
                    <m:sty m:val="bi"/>
                  </m:rPr>
                  <w:rPr>
                    <w:rFonts w:ascii="Cambria Math" w:hAnsi="Cambria Math"/>
                    <w:szCs w:val="24"/>
                  </w:rPr>
                  <m:t>)</m:t>
                </m:r>
              </m:e>
            </m:d>
          </m:e>
        </m:nary>
        <m:r>
          <m:rPr>
            <m:sty m:val="bi"/>
          </m:rPr>
          <w:rPr>
            <w:rFonts w:ascii="Cambria Math"/>
            <w:szCs w:val="24"/>
          </w:rPr>
          <m:t>-</m:t>
        </m:r>
        <m:r>
          <m:rPr>
            <m:sty m:val="bi"/>
          </m:rPr>
          <w:rPr>
            <w:rFonts w:ascii="Cambria Math"/>
            <w:szCs w:val="24"/>
          </w:rPr>
          <m:t>NN</m:t>
        </m:r>
      </m:oMath>
      <w:r>
        <w:rPr>
          <w:rFonts w:ascii="TimesLT" w:hAnsi="TimesLT"/>
          <w:szCs w:val="24"/>
        </w:rPr>
        <w:t>, kur:</w:t>
      </w:r>
    </w:p>
    <w:p>
      <w:pPr>
        <w:ind w:firstLine="709"/>
        <w:jc w:val="both"/>
        <w:rPr>
          <w:szCs w:val="24"/>
        </w:rPr>
      </w:pPr>
    </w:p>
    <w:p>
      <w:pPr>
        <w:ind w:firstLine="771"/>
        <w:jc w:val="both"/>
        <w:rPr>
          <w:color w:val="000000"/>
          <w:szCs w:val="24"/>
        </w:rPr>
      </w:pPr>
      <m:oMath>
        <m:r>
          <w:rPr>
            <w:rFonts w:ascii="Cambria Math" w:hAnsi="Cambria Math"/>
            <w:szCs w:val="24"/>
          </w:rPr>
          <m:t>(</m:t>
        </m:r>
        <m:f>
          <m:fPr>
            <m:ctrlPr>
              <w:rPr>
                <w:rFonts w:ascii="Cambria Math" w:hAnsi="Cambria Math"/>
                <w:i/>
                <w:szCs w:val="24"/>
              </w:rPr>
            </m:ctrlPr>
          </m:fPr>
          <m:num>
            <m:r>
              <m:rPr>
                <m:sty m:val="p"/>
              </m:rPr>
              <w:rPr>
                <w:rFonts w:ascii="Cambria Math" w:hAnsi="Cambria Math"/>
                <w:szCs w:val="24"/>
              </w:rPr>
              <m:t>Δ</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i</m:t>
                </m:r>
              </m:sub>
            </m:sSub>
          </m:num>
          <m:den>
            <m:r>
              <m:rPr>
                <m:sty m:val="p"/>
              </m:rPr>
              <w:rPr>
                <w:rFonts w:ascii="Cambria Math" w:hAnsi="Cambria Math"/>
                <w:szCs w:val="24"/>
              </w:rPr>
              <m:t>Δ</m:t>
            </m:r>
            <m:sSub>
              <m:sSubPr>
                <m:ctrlPr>
                  <w:rPr>
                    <w:rFonts w:ascii="Cambria Math" w:hAnsi="Cambria Math"/>
                    <w:i/>
                    <w:szCs w:val="24"/>
                  </w:rPr>
                </m:ctrlPr>
              </m:sSubPr>
              <m:e>
                <m:r>
                  <w:rPr>
                    <w:rFonts w:ascii="Cambria Math" w:hAnsi="Cambria Math"/>
                    <w:szCs w:val="24"/>
                  </w:rPr>
                  <m:t>Q</m:t>
                </m:r>
              </m:e>
              <m:sub>
                <m:r>
                  <w:rPr>
                    <w:rFonts w:ascii="Cambria Math" w:hAnsi="Cambria Math"/>
                    <w:szCs w:val="24"/>
                  </w:rPr>
                  <m:t>i</m:t>
                </m:r>
              </m:sub>
            </m:sSub>
          </m:den>
        </m:f>
        <m:r>
          <w:rPr>
            <w:rFonts w:ascii="Cambria Math" w:hAnsi="Cambria Math"/>
            <w:szCs w:val="24"/>
          </w:rPr>
          <m:t>)</m:t>
        </m:r>
      </m:oMath>
      <w:r>
        <w:rPr>
          <w:color w:val="000000"/>
          <w:szCs w:val="24"/>
        </w:rPr>
        <w:t>– pastovių ir kintamų ribinių sąnaudų, patirtų dėl įpareigojimo užtikrinti universaliųjų paslaugų prieinamumą ir teikti universaliąsias paslaugas ataskaitiniu laikotarpiu, suma;</w:t>
      </w:r>
    </w:p>
    <w:p>
      <w:pPr>
        <w:ind w:firstLine="771"/>
        <w:jc w:val="both"/>
        <w:rPr>
          <w:bCs/>
          <w:szCs w:val="24"/>
        </w:rPr>
      </w:pPr>
      <m:oMath>
        <m:r>
          <w:rPr>
            <w:rFonts w:ascii="Cambria Math"/>
            <w:szCs w:val="24"/>
          </w:rPr>
          <m:t>(</m:t>
        </m:r>
        <m:f>
          <m:fPr>
            <m:ctrlPr>
              <w:rPr>
                <w:rFonts w:ascii="Cambria Math" w:hAnsi="Cambria Math"/>
                <w:bCs/>
                <w:i/>
                <w:szCs w:val="24"/>
              </w:rPr>
            </m:ctrlPr>
          </m:fPr>
          <m:num>
            <m:r>
              <m:rPr>
                <m:sty m:val="p"/>
              </m:rPr>
              <w:rPr>
                <w:rFonts w:ascii="Cambria Math" w:hAnsi="Cambria Math"/>
                <w:szCs w:val="24"/>
              </w:rPr>
              <m:t>Δ</m:t>
            </m:r>
            <m:sSub>
              <m:sSubPr>
                <m:ctrlPr>
                  <w:rPr>
                    <w:rFonts w:ascii="Cambria Math" w:hAnsi="Cambria Math"/>
                    <w:bCs/>
                    <w:i/>
                    <w:szCs w:val="24"/>
                  </w:rPr>
                </m:ctrlPr>
              </m:sSubPr>
              <m:e>
                <m:r>
                  <w:rPr>
                    <w:rFonts w:ascii="Cambria Math"/>
                    <w:szCs w:val="24"/>
                  </w:rPr>
                  <m:t>C</m:t>
                </m:r>
              </m:e>
              <m:sub>
                <m:sSub>
                  <m:sSubPr>
                    <m:ctrlPr>
                      <w:rPr>
                        <w:rFonts w:ascii="Cambria Math" w:hAnsi="Cambria Math"/>
                        <w:bCs/>
                        <w:i/>
                        <w:szCs w:val="24"/>
                      </w:rPr>
                    </m:ctrlPr>
                  </m:sSubPr>
                  <m:e>
                    <m:r>
                      <w:rPr>
                        <w:rFonts w:ascii="Cambria Math"/>
                        <w:szCs w:val="24"/>
                      </w:rPr>
                      <m:t>N</m:t>
                    </m:r>
                  </m:e>
                  <m:sub>
                    <m:r>
                      <w:rPr>
                        <w:rFonts w:ascii="Cambria Math"/>
                        <w:szCs w:val="24"/>
                      </w:rPr>
                      <m:t>i</m:t>
                    </m:r>
                  </m:sub>
                </m:sSub>
              </m:sub>
            </m:sSub>
          </m:num>
          <m:den>
            <m:r>
              <m:rPr>
                <m:sty m:val="p"/>
              </m:rPr>
              <w:rPr>
                <w:rFonts w:ascii="Cambria Math" w:hAnsi="Cambria Math"/>
                <w:szCs w:val="24"/>
              </w:rPr>
              <m:t>Δ</m:t>
            </m:r>
            <m:sSub>
              <m:sSubPr>
                <m:ctrlPr>
                  <w:rPr>
                    <w:rFonts w:ascii="Cambria Math" w:hAnsi="Cambria Math"/>
                    <w:bCs/>
                    <w:i/>
                    <w:szCs w:val="24"/>
                  </w:rPr>
                </m:ctrlPr>
              </m:sSubPr>
              <m:e>
                <m:r>
                  <w:rPr>
                    <w:rFonts w:ascii="Cambria Math"/>
                    <w:szCs w:val="24"/>
                  </w:rPr>
                  <m:t>Q</m:t>
                </m:r>
              </m:e>
              <m:sub>
                <m:sSub>
                  <m:sSubPr>
                    <m:ctrlPr>
                      <w:rPr>
                        <w:rFonts w:ascii="Cambria Math" w:hAnsi="Cambria Math"/>
                        <w:bCs/>
                        <w:i/>
                        <w:szCs w:val="24"/>
                      </w:rPr>
                    </m:ctrlPr>
                  </m:sSubPr>
                  <m:e>
                    <m:r>
                      <w:rPr>
                        <w:rFonts w:ascii="Cambria Math"/>
                        <w:szCs w:val="24"/>
                      </w:rPr>
                      <m:t>N</m:t>
                    </m:r>
                  </m:e>
                  <m:sub>
                    <m:r>
                      <w:rPr>
                        <w:rFonts w:ascii="Cambria Math"/>
                        <w:szCs w:val="24"/>
                      </w:rPr>
                      <m:t>i</m:t>
                    </m:r>
                  </m:sub>
                </m:sSub>
              </m:sub>
            </m:sSub>
          </m:den>
        </m:f>
        <m:r>
          <w:rPr>
            <w:rFonts w:ascii="Cambria Math" w:hAnsi="Cambria Math"/>
            <w:szCs w:val="24"/>
          </w:rPr>
          <m:t>)</m:t>
        </m:r>
      </m:oMath>
      <w:r>
        <w:rPr>
          <w:bCs/>
          <w:color w:val="000000"/>
          <w:szCs w:val="24"/>
        </w:rPr>
        <w:t xml:space="preserve">– </w:t>
      </w:r>
      <w:r>
        <w:rPr>
          <w:color w:val="000000"/>
          <w:szCs w:val="24"/>
        </w:rPr>
        <w:t>pastovių ir kintamų ribinių sąnaudų, patirtų nesant įpareigojimo užtikrinti universaliųjų paslaugų prieinamumą ir teikti universaliąsias paslaugas ataskaitiniu laikotarpiu, suma;</w:t>
      </w:r>
    </w:p>
    <w:p>
      <w:pPr>
        <w:ind w:firstLine="771"/>
        <w:jc w:val="both"/>
        <w:rPr>
          <w:szCs w:val="24"/>
        </w:rPr>
      </w:pPr>
      <m:oMath>
        <m:r>
          <m:rPr>
            <m:sty m:val="p"/>
          </m:rPr>
          <w:rPr>
            <w:rFonts w:ascii="Cambria Math"/>
            <w:szCs w:val="24"/>
          </w:rPr>
          <m:t>Δ</m:t>
        </m:r>
        <m:sSub>
          <m:sSubPr>
            <m:ctrlPr>
              <w:rPr>
                <w:rFonts w:ascii="Cambria Math" w:hAnsi="Cambria Math"/>
                <w:bCs/>
                <w:i/>
                <w:szCs w:val="24"/>
              </w:rPr>
            </m:ctrlPr>
          </m:sSubPr>
          <m:e>
            <m:r>
              <w:rPr>
                <w:rFonts w:ascii="Cambria Math"/>
                <w:szCs w:val="24"/>
              </w:rPr>
              <m:t>C</m:t>
            </m:r>
          </m:e>
          <m:sub>
            <m:r>
              <w:rPr>
                <w:rFonts w:ascii="Cambria Math"/>
                <w:szCs w:val="24"/>
              </w:rPr>
              <m:t>i</m:t>
            </m:r>
          </m:sub>
        </m:sSub>
      </m:oMath>
      <w:r>
        <w:rPr>
          <w:szCs w:val="24"/>
        </w:rPr>
        <w:t xml:space="preserve">– pastovių ir kintamų  sąnaudų pokytis, kai papildomai teikiamas vienas </w:t>
      </w:r>
      <w:r>
        <w:rPr>
          <w:color w:val="000000"/>
          <w:szCs w:val="24"/>
        </w:rPr>
        <w:t xml:space="preserve">universaliųjų paslaugų </w:t>
      </w:r>
      <w:r>
        <w:rPr>
          <w:szCs w:val="24"/>
        </w:rPr>
        <w:t>vienetas ataskaitiniu laikotarpiu;</w:t>
      </w:r>
    </w:p>
    <w:p>
      <w:pPr>
        <w:ind w:firstLine="833"/>
        <w:jc w:val="both"/>
        <w:rPr>
          <w:szCs w:val="24"/>
        </w:rPr>
      </w:pPr>
      <m:oMath>
        <m:r>
          <m:rPr>
            <m:sty m:val="p"/>
          </m:rPr>
          <w:rPr>
            <w:rFonts w:ascii="Cambria Math"/>
            <w:szCs w:val="24"/>
          </w:rPr>
          <m:t>Δ</m:t>
        </m:r>
        <m:sSub>
          <m:sSubPr>
            <m:ctrlPr>
              <w:rPr>
                <w:rFonts w:ascii="Cambria Math" w:hAnsi="Cambria Math"/>
                <w:bCs/>
                <w:i/>
                <w:szCs w:val="24"/>
              </w:rPr>
            </m:ctrlPr>
          </m:sSubPr>
          <m:e>
            <m:r>
              <w:rPr>
                <w:rFonts w:ascii="Cambria Math"/>
                <w:szCs w:val="24"/>
              </w:rPr>
              <m:t>Q</m:t>
            </m:r>
          </m:e>
          <m:sub>
            <m:r>
              <w:rPr>
                <w:rFonts w:ascii="Cambria Math"/>
                <w:szCs w:val="24"/>
              </w:rPr>
              <m:t>i</m:t>
            </m:r>
          </m:sub>
        </m:sSub>
      </m:oMath>
      <w:r>
        <w:rPr>
          <w:szCs w:val="24"/>
        </w:rPr>
        <w:t xml:space="preserve">– teikiamų </w:t>
      </w:r>
      <w:r>
        <w:rPr>
          <w:color w:val="000000"/>
          <w:szCs w:val="24"/>
        </w:rPr>
        <w:t xml:space="preserve">universaliųjų paslaugų </w:t>
      </w:r>
      <w:r>
        <w:rPr>
          <w:szCs w:val="24"/>
        </w:rPr>
        <w:t>pokytis vienu vienetu;</w:t>
      </w:r>
    </w:p>
    <w:p>
      <w:pPr>
        <w:ind w:firstLine="771"/>
        <w:jc w:val="both"/>
        <w:rPr>
          <w:bCs/>
          <w:color w:val="000000"/>
          <w:szCs w:val="24"/>
        </w:rPr>
      </w:pPr>
      <m:oMath>
        <m:r>
          <m:rPr>
            <m:sty m:val="p"/>
          </m:rPr>
          <w:rPr>
            <w:rFonts w:ascii="Cambria Math" w:hAnsi="Cambria Math"/>
            <w:szCs w:val="24"/>
          </w:rPr>
          <m:t>Δ</m:t>
        </m:r>
        <m:sSub>
          <m:sSubPr>
            <m:ctrlPr>
              <w:rPr>
                <w:rFonts w:ascii="Cambria Math" w:hAnsi="Cambria Math"/>
                <w:bCs/>
                <w:i/>
                <w:szCs w:val="24"/>
              </w:rPr>
            </m:ctrlPr>
          </m:sSubPr>
          <m:e>
            <m:r>
              <w:rPr>
                <w:rFonts w:ascii="Cambria Math"/>
                <w:szCs w:val="24"/>
              </w:rPr>
              <m:t>C</m:t>
            </m:r>
          </m:e>
          <m:sub>
            <m:sSub>
              <m:sSubPr>
                <m:ctrlPr>
                  <w:rPr>
                    <w:rFonts w:ascii="Cambria Math" w:hAnsi="Cambria Math"/>
                    <w:bCs/>
                    <w:i/>
                    <w:szCs w:val="24"/>
                  </w:rPr>
                </m:ctrlPr>
              </m:sSubPr>
              <m:e>
                <m:r>
                  <w:rPr>
                    <w:rFonts w:ascii="Cambria Math"/>
                    <w:szCs w:val="24"/>
                  </w:rPr>
                  <m:t>N</m:t>
                </m:r>
              </m:e>
              <m:sub>
                <m:r>
                  <w:rPr>
                    <w:rFonts w:ascii="Cambria Math"/>
                    <w:szCs w:val="24"/>
                  </w:rPr>
                  <m:t>i</m:t>
                </m:r>
              </m:sub>
            </m:sSub>
          </m:sub>
        </m:sSub>
      </m:oMath>
      <w:r>
        <w:rPr>
          <w:bCs/>
          <w:color w:val="000000"/>
          <w:szCs w:val="24"/>
        </w:rPr>
        <w:t xml:space="preserve">– pastovių ir kintamų </w:t>
      </w:r>
      <w:r>
        <w:rPr>
          <w:szCs w:val="24"/>
        </w:rPr>
        <w:t xml:space="preserve"> </w:t>
      </w:r>
      <w:r>
        <w:rPr>
          <w:bCs/>
          <w:color w:val="000000"/>
          <w:szCs w:val="24"/>
        </w:rPr>
        <w:t xml:space="preserve">sąnaudų pokytis, kai papildomai teikiamas vienas atitinkamos </w:t>
      </w:r>
      <w:r>
        <w:rPr>
          <w:color w:val="000000"/>
          <w:szCs w:val="24"/>
        </w:rPr>
        <w:t xml:space="preserve">Universaliųjų paslaugų teikimo taisyklių 4 punkte nurodytos </w:t>
      </w:r>
      <w:r>
        <w:rPr>
          <w:bCs/>
          <w:color w:val="000000"/>
          <w:szCs w:val="24"/>
        </w:rPr>
        <w:t>universaliosios paslaugos, kurios teikti teikėjas nėra įpareigotas, vienetas ataskaitiniu laikotarpiu;</w:t>
      </w:r>
    </w:p>
    <w:p>
      <w:pPr>
        <w:ind w:firstLine="771"/>
        <w:jc w:val="both"/>
        <w:rPr>
          <w:szCs w:val="24"/>
        </w:rPr>
      </w:pPr>
      <m:oMath>
        <m:r>
          <m:rPr>
            <m:sty m:val="p"/>
          </m:rPr>
          <w:rPr>
            <w:rFonts w:ascii="Cambria Math" w:hAnsi="Cambria Math"/>
            <w:szCs w:val="24"/>
          </w:rPr>
          <m:t>Δ</m:t>
        </m:r>
        <m:sSub>
          <m:sSubPr>
            <m:ctrlPr>
              <w:rPr>
                <w:rFonts w:ascii="Cambria Math" w:hAnsi="Cambria Math"/>
                <w:bCs/>
                <w:i/>
                <w:szCs w:val="24"/>
              </w:rPr>
            </m:ctrlPr>
          </m:sSubPr>
          <m:e>
            <m:r>
              <w:rPr>
                <w:rFonts w:ascii="Cambria Math"/>
                <w:szCs w:val="24"/>
              </w:rPr>
              <m:t>Q</m:t>
            </m:r>
          </m:e>
          <m:sub>
            <m:sSub>
              <m:sSubPr>
                <m:ctrlPr>
                  <w:rPr>
                    <w:rFonts w:ascii="Cambria Math" w:hAnsi="Cambria Math"/>
                    <w:bCs/>
                    <w:i/>
                    <w:szCs w:val="24"/>
                  </w:rPr>
                </m:ctrlPr>
              </m:sSubPr>
              <m:e>
                <m:r>
                  <w:rPr>
                    <w:rFonts w:ascii="Cambria Math"/>
                    <w:szCs w:val="24"/>
                  </w:rPr>
                  <m:t>N</m:t>
                </m:r>
              </m:e>
              <m:sub>
                <m:r>
                  <w:rPr>
                    <w:rFonts w:ascii="Cambria Math"/>
                    <w:szCs w:val="24"/>
                  </w:rPr>
                  <m:t>i</m:t>
                </m:r>
              </m:sub>
            </m:sSub>
          </m:sub>
        </m:sSub>
      </m:oMath>
      <w:r>
        <w:rPr>
          <w:bCs/>
          <w:color w:val="000000"/>
          <w:szCs w:val="24"/>
        </w:rPr>
        <w:t xml:space="preserve">– </w:t>
      </w:r>
      <w:r>
        <w:rPr>
          <w:szCs w:val="24"/>
        </w:rPr>
        <w:t xml:space="preserve">teikiamos </w:t>
      </w:r>
      <w:r>
        <w:rPr>
          <w:color w:val="000000"/>
          <w:szCs w:val="24"/>
        </w:rPr>
        <w:t xml:space="preserve">atitinkamos Universaliųjų paslaugų teikimo taisyklių 4 punkte </w:t>
      </w:r>
      <w:r>
        <w:rPr>
          <w:bCs/>
          <w:color w:val="000000"/>
          <w:szCs w:val="24"/>
        </w:rPr>
        <w:t>nurodytos universaliosios paslaugos, kurios teikti teikėjas nėra įpareigotas,</w:t>
      </w:r>
      <w:r>
        <w:rPr>
          <w:szCs w:val="24"/>
        </w:rPr>
        <w:t xml:space="preserve"> pokytis vienu vienetu;</w:t>
      </w:r>
    </w:p>
    <w:p>
      <w:pPr>
        <w:ind w:firstLine="709"/>
        <w:jc w:val="both"/>
        <w:rPr>
          <w:bCs/>
          <w:color w:val="000000"/>
          <w:szCs w:val="24"/>
        </w:rPr>
      </w:pPr>
      <w:r>
        <w:rPr>
          <w:bCs/>
          <w:i/>
          <w:iCs/>
          <w:color w:val="000000"/>
          <w:szCs w:val="24"/>
        </w:rPr>
        <w:t>n</w:t>
      </w:r>
      <w:r>
        <w:rPr>
          <w:bCs/>
          <w:color w:val="000000"/>
          <w:szCs w:val="24"/>
        </w:rPr>
        <w:t xml:space="preserve"> – teikėjo suteiktų </w:t>
      </w:r>
      <w:r>
        <w:rPr>
          <w:color w:val="000000"/>
          <w:szCs w:val="24"/>
        </w:rPr>
        <w:t xml:space="preserve">universaliųjų paslaugų </w:t>
      </w:r>
      <w:r>
        <w:rPr>
          <w:bCs/>
          <w:color w:val="000000"/>
          <w:szCs w:val="24"/>
        </w:rPr>
        <w:t xml:space="preserve">ir atitinkamų </w:t>
      </w:r>
      <w:r>
        <w:rPr>
          <w:color w:val="000000"/>
          <w:szCs w:val="24"/>
        </w:rPr>
        <w:t xml:space="preserve">Universaliųjų paslaugų teikimo taisyklių 4 punkte nurodytų </w:t>
      </w:r>
      <w:r>
        <w:rPr>
          <w:bCs/>
          <w:color w:val="000000"/>
          <w:szCs w:val="24"/>
        </w:rPr>
        <w:t xml:space="preserve">universaliųjų paslaugų, kurių teikėjas nėra įpareigotas teikti, kiekis; </w:t>
      </w:r>
    </w:p>
    <w:p>
      <w:pPr>
        <w:ind w:firstLine="709"/>
        <w:jc w:val="both"/>
        <w:rPr>
          <w:bCs/>
          <w:szCs w:val="24"/>
        </w:rPr>
      </w:pPr>
      <w:r>
        <w:rPr>
          <w:bCs/>
          <w:i/>
          <w:iCs/>
          <w:szCs w:val="24"/>
        </w:rPr>
        <w:t>i</w:t>
      </w:r>
      <w:r>
        <w:rPr>
          <w:bCs/>
          <w:szCs w:val="24"/>
        </w:rPr>
        <w:t xml:space="preserve"> – indeksas, nurodantis konkrečią </w:t>
      </w:r>
      <w:r>
        <w:rPr>
          <w:color w:val="000000"/>
          <w:szCs w:val="24"/>
        </w:rPr>
        <w:t xml:space="preserve">universaliąją paslaugą </w:t>
      </w:r>
      <w:r>
        <w:rPr>
          <w:bCs/>
          <w:szCs w:val="24"/>
        </w:rPr>
        <w:t xml:space="preserve">ir </w:t>
      </w:r>
      <w:r>
        <w:rPr>
          <w:color w:val="000000"/>
          <w:szCs w:val="24"/>
        </w:rPr>
        <w:t xml:space="preserve">Universaliųjų paslaugų teikimo taisyklių 4 punkte </w:t>
      </w:r>
      <w:r>
        <w:rPr>
          <w:bCs/>
          <w:color w:val="000000"/>
          <w:szCs w:val="24"/>
        </w:rPr>
        <w:t xml:space="preserve">nurodytą atitinkamą </w:t>
      </w:r>
      <w:r>
        <w:rPr>
          <w:color w:val="000000"/>
          <w:szCs w:val="24"/>
        </w:rPr>
        <w:t xml:space="preserve">universaliąją </w:t>
      </w:r>
      <w:r>
        <w:rPr>
          <w:bCs/>
          <w:color w:val="000000"/>
          <w:szCs w:val="24"/>
        </w:rPr>
        <w:t>paslaugą</w:t>
      </w:r>
      <w:r>
        <w:rPr>
          <w:bCs/>
          <w:szCs w:val="24"/>
        </w:rPr>
        <w:t xml:space="preserve">; </w:t>
      </w:r>
      <w:r>
        <w:rPr>
          <w:bCs/>
          <w:i/>
          <w:iCs/>
          <w:szCs w:val="24"/>
        </w:rPr>
        <w:t>i</w:t>
      </w:r>
      <w:r>
        <w:rPr>
          <w:bCs/>
          <w:szCs w:val="24"/>
        </w:rPr>
        <w:t xml:space="preserve"> kinta nuo 1 iki </w:t>
      </w:r>
      <w:r>
        <w:rPr>
          <w:bCs/>
          <w:i/>
          <w:iCs/>
          <w:szCs w:val="24"/>
        </w:rPr>
        <w:t>n</w:t>
      </w:r>
      <w:r>
        <w:rPr>
          <w:bCs/>
          <w:szCs w:val="24"/>
        </w:rPr>
        <w:t>;</w:t>
      </w:r>
    </w:p>
    <w:p>
      <w:pPr>
        <w:ind w:firstLine="771"/>
        <w:jc w:val="both"/>
        <w:rPr>
          <w:szCs w:val="24"/>
        </w:rPr>
      </w:pPr>
      <m:oMath>
        <m:r>
          <w:rPr>
            <w:rFonts w:ascii="Cambria Math"/>
            <w:szCs w:val="24"/>
          </w:rPr>
          <m:t>NN</m:t>
        </m:r>
      </m:oMath>
      <w:r>
        <w:rPr>
          <w:szCs w:val="24"/>
        </w:rPr>
        <w:t>– nemateriali nauda, patiriama dėl įpareigojimo užtikrinti universaliųjų paslaugų prieinamumą ir teikti universaliąsias paslaugas, įvertinta pinigine verte.</w:t>
      </w:r>
    </w:p>
    <w:p>
      <w:pPr>
        <w:ind w:firstLine="709"/>
        <w:jc w:val="both"/>
        <w:rPr>
          <w:szCs w:val="24"/>
        </w:rPr>
      </w:pPr>
      <w:r>
        <w:rPr>
          <w:szCs w:val="24"/>
        </w:rPr>
        <w:t>25</w:t>
      </w:r>
      <w:r>
        <w:rPr>
          <w:szCs w:val="24"/>
        </w:rPr>
        <w:t>. Universaliųjų paslaugų teikimo nuostoliai gali būti kompensuojami tik tuo atveju, jei grynosios sąnaudos, patirtos dėl įpareigojimo užtikrinti universaliųjų paslaugų prieinamumą ir teikti universaliąsias paslaugas ataskaitiniu laikotarpiu, viršija grynąsias sąnaudas, patirtas nesant įpareigojimo užtikrinti universaliųjų paslaugų prieinamumą ir teikti universaliąsias paslaugas tuo pačiu ataskaitiniu laikotarpiu, atėmus nematerialios naudos, gautos tuo pačiu ataskaitiniu laikotarpiu, vertę, apskaičiuotą pagal Taisyklių 10-11 punktuose nustatytus reikalavimus.</w:t>
      </w:r>
    </w:p>
    <w:p>
      <w:pPr>
        <w:ind w:firstLine="709"/>
        <w:jc w:val="both"/>
        <w:rPr>
          <w:szCs w:val="24"/>
        </w:rPr>
      </w:pPr>
    </w:p>
    <w:p>
      <w:pPr>
        <w:jc w:val="center"/>
        <w:rPr>
          <w:b/>
          <w:bCs/>
          <w:szCs w:val="24"/>
        </w:rPr>
      </w:pPr>
      <w:r>
        <w:rPr>
          <w:b/>
          <w:bCs/>
          <w:szCs w:val="24"/>
        </w:rPr>
        <w:t>IV</w:t>
      </w:r>
      <w:r>
        <w:rPr>
          <w:b/>
          <w:bCs/>
          <w:szCs w:val="24"/>
        </w:rPr>
        <w:t xml:space="preserve"> SKYRIUS</w:t>
      </w:r>
    </w:p>
    <w:p>
      <w:pPr>
        <w:jc w:val="center"/>
        <w:rPr>
          <w:b/>
          <w:bCs/>
          <w:szCs w:val="24"/>
        </w:rPr>
      </w:pPr>
      <w:r>
        <w:rPr>
          <w:b/>
          <w:bCs/>
          <w:szCs w:val="24"/>
        </w:rPr>
        <w:t>ĮPERKAMŲ UNIVERSALIŲJŲ PASLAUGŲ TEIKIMO NUOSTOLIŲ NUSTATYMO TVARKA</w:t>
      </w:r>
    </w:p>
    <w:p>
      <w:pPr>
        <w:ind w:firstLine="312"/>
        <w:jc w:val="center"/>
        <w:rPr>
          <w:szCs w:val="24"/>
        </w:rPr>
      </w:pPr>
    </w:p>
    <w:p>
      <w:pPr>
        <w:ind w:firstLine="709"/>
        <w:jc w:val="both"/>
        <w:rPr>
          <w:szCs w:val="24"/>
        </w:rPr>
      </w:pPr>
      <w:r>
        <w:rPr>
          <w:szCs w:val="24"/>
        </w:rPr>
        <w:t>26</w:t>
      </w:r>
      <w:r>
        <w:rPr>
          <w:szCs w:val="24"/>
        </w:rPr>
        <w:t>. Teikėjas, siekdamas nustatyti įperkamų universaliųjų paslaugų teikimo nuostolių dydį, turi apskaičiuoti pajamas, gautas teikiant įperkamas universaliąsias paslaugas ataskaitiniu laikotarpiu, ir sąnaudas, patirtas teikiant įperkamas universaliąsias paslaugas tuo pačiu ataskaitiniu laikotarpiu.</w:t>
      </w:r>
    </w:p>
    <w:p>
      <w:pPr>
        <w:ind w:firstLine="709"/>
        <w:jc w:val="both"/>
        <w:rPr>
          <w:szCs w:val="24"/>
        </w:rPr>
      </w:pPr>
      <w:r>
        <w:rPr>
          <w:szCs w:val="24"/>
        </w:rPr>
        <w:t>27</w:t>
      </w:r>
      <w:r>
        <w:rPr>
          <w:szCs w:val="24"/>
        </w:rPr>
        <w:t>. Teikėjas įperkamų universaliųjų paslaugų teikimo nuostolius (ĮN) turi apskaičiuoti pagal šią formulę:</w:t>
      </w:r>
    </w:p>
    <w:p>
      <w:pPr>
        <w:ind w:firstLine="709"/>
        <w:jc w:val="both"/>
        <w:rPr>
          <w:szCs w:val="24"/>
        </w:rPr>
      </w:pPr>
    </w:p>
    <w:p>
      <w:pPr>
        <w:ind w:firstLine="312"/>
        <w:jc w:val="center"/>
        <w:rPr>
          <w:szCs w:val="24"/>
        </w:rPr>
      </w:pPr>
    </w:p>
    <w:p>
      <w:pPr>
        <w:tabs>
          <w:tab w:val="left" w:pos="720"/>
          <w:tab w:val="left" w:pos="936"/>
          <w:tab w:val="left" w:pos="1309"/>
        </w:tabs>
        <w:ind w:left="720"/>
        <w:jc w:val="center"/>
        <w:rPr>
          <w:i/>
          <w:iCs/>
          <w:szCs w:val="24"/>
        </w:rPr>
      </w:pPr>
      <m:oMath>
        <m:r>
          <m:rPr>
            <m:sty m:val="bi"/>
          </m:rPr>
          <w:rPr>
            <w:rFonts w:ascii="Cambria Math"/>
          </w:rPr>
          <m:t>Į</m:t>
        </m:r>
        <m:r>
          <m:rPr>
            <m:sty m:val="bi"/>
          </m:rPr>
          <w:rPr>
            <w:rFonts w:ascii="Cambria Math"/>
          </w:rPr>
          <m:t>N</m:t>
        </m:r>
        <m:r>
          <m:rPr>
            <m:sty m:val="bi"/>
          </m:rPr>
          <w:rPr>
            <w:rFonts w:ascii="Cambria Math"/>
          </w:rPr>
          <m:t>=</m:t>
        </m:r>
        <m:r>
          <m:rPr>
            <m:sty m:val="bi"/>
          </m:rPr>
          <w:rPr>
            <w:rFonts w:ascii="Cambria Math" w:hAnsi="Cambria Math"/>
          </w:rPr>
          <m:t>│</m:t>
        </m:r>
        <m:nary>
          <m:naryPr>
            <m:chr m:val="∑"/>
            <m:ctrlPr>
              <w:rPr>
                <w:rFonts w:ascii="Cambria Math" w:hAnsi="Cambria Math"/>
                <w:b/>
                <w:bCs/>
                <w:i/>
              </w:rPr>
            </m:ctrlPr>
          </m:naryPr>
          <m:sub>
            <m:r>
              <m:rPr>
                <m:sty m:val="bi"/>
              </m:rPr>
              <w:rPr>
                <w:rFonts w:ascii="Cambria Math"/>
              </w:rPr>
              <m:t>i</m:t>
            </m:r>
            <m:r>
              <m:rPr>
                <m:sty m:val="bi"/>
              </m:rPr>
              <w:rPr>
                <w:rFonts w:ascii="Cambria Math"/>
              </w:rPr>
              <m:t>=</m:t>
            </m:r>
            <m:r>
              <m:rPr>
                <m:sty m:val="bi"/>
              </m:rPr>
              <w:rPr>
                <w:rFonts w:ascii="Cambria Math"/>
              </w:rPr>
              <m:t>1</m:t>
            </m:r>
          </m:sub>
          <m:sup>
            <m:r>
              <m:rPr>
                <m:sty m:val="bi"/>
              </m:rPr>
              <w:rPr>
                <w:rFonts w:ascii="Cambria Math"/>
              </w:rPr>
              <m:t>n</m:t>
            </m:r>
          </m:sup>
          <m:e>
            <m:d>
              <m:dPr>
                <m:begChr m:val="["/>
                <m:endChr m:val="]"/>
                <m:ctrlPr>
                  <w:rPr>
                    <w:rFonts w:ascii="Cambria Math" w:hAnsi="Cambria Math"/>
                    <w:b/>
                    <w:bCs/>
                    <w:i/>
                  </w:rPr>
                </m:ctrlPr>
              </m:dPr>
              <m:e>
                <m:r>
                  <m:rPr>
                    <m:sty m:val="bi"/>
                  </m:rPr>
                  <w:rPr>
                    <w:rFonts w:ascii="Cambria Math"/>
                  </w:rPr>
                  <m:t>(</m:t>
                </m:r>
                <m:sSub>
                  <m:sSubPr>
                    <m:ctrlPr>
                      <w:rPr>
                        <w:rFonts w:ascii="Cambria Math" w:hAnsi="Cambria Math"/>
                        <w:b/>
                        <w:bCs/>
                        <w:i/>
                      </w:rPr>
                    </m:ctrlPr>
                  </m:sSubPr>
                  <m:e>
                    <m:r>
                      <m:rPr>
                        <m:sty m:val="bi"/>
                      </m:rPr>
                      <w:rPr>
                        <w:rFonts w:ascii="Cambria Math"/>
                      </w:rPr>
                      <m:t>P</m:t>
                    </m:r>
                  </m:e>
                  <m:sub>
                    <m:r>
                      <m:rPr>
                        <m:sty m:val="bi"/>
                      </m:rPr>
                      <w:rPr>
                        <w:rFonts w:ascii="Cambria Math"/>
                      </w:rPr>
                      <m:t>i</m:t>
                    </m:r>
                  </m:sub>
                </m:sSub>
                <m:r>
                  <m:rPr>
                    <m:sty m:val="bi"/>
                  </m:rPr>
                  <w:rPr>
                    <w:rFonts w:ascii="Cambria Math"/>
                  </w:rPr>
                  <m:t>-</m:t>
                </m:r>
                <m:sSub>
                  <m:sSubPr>
                    <m:ctrlPr>
                      <w:rPr>
                        <w:rFonts w:ascii="Cambria Math" w:hAnsi="Cambria Math"/>
                        <w:b/>
                        <w:bCs/>
                        <w:i/>
                      </w:rPr>
                    </m:ctrlPr>
                  </m:sSubPr>
                  <m:e>
                    <m:r>
                      <m:rPr>
                        <m:sty m:val="bi"/>
                      </m:rPr>
                      <w:rPr>
                        <w:rFonts w:ascii="Cambria Math"/>
                      </w:rPr>
                      <m:t>S</m:t>
                    </m:r>
                  </m:e>
                  <m:sub>
                    <m:r>
                      <m:rPr>
                        <m:sty m:val="bi"/>
                      </m:rPr>
                      <w:rPr>
                        <w:rFonts w:ascii="Cambria Math"/>
                      </w:rPr>
                      <m:t>i</m:t>
                    </m:r>
                  </m:sub>
                </m:sSub>
                <m:r>
                  <m:rPr>
                    <m:sty m:val="bi"/>
                  </m:rPr>
                  <w:rPr>
                    <w:rFonts w:ascii="Cambria Math"/>
                  </w:rPr>
                  <m:t>)</m:t>
                </m:r>
              </m:e>
            </m:d>
            <m:r>
              <m:rPr>
                <m:sty m:val="bi"/>
              </m:rPr>
              <w:rPr>
                <w:rFonts w:ascii="Cambria Math" w:hAnsi="Cambria Math"/>
              </w:rPr>
              <m:t>│</m:t>
            </m:r>
          </m:e>
        </m:nary>
        <m:r>
          <m:rPr>
            <m:sty m:val="bi"/>
          </m:rPr>
          <w:rPr>
            <w:rFonts w:ascii="Cambria Math"/>
          </w:rPr>
          <m:t>-</m:t>
        </m:r>
        <m:r>
          <m:rPr>
            <m:sty m:val="bi"/>
          </m:rPr>
          <w:rPr>
            <w:rFonts w:ascii="Cambria Math"/>
          </w:rPr>
          <m:t>NN</m:t>
        </m:r>
      </m:oMath>
      <w:r>
        <w:rPr>
          <w:szCs w:val="24"/>
        </w:rPr>
        <w:t>, kur:</w:t>
      </w:r>
    </w:p>
    <w:p>
      <w:pPr>
        <w:ind w:firstLine="312"/>
        <w:jc w:val="center"/>
        <w:rPr>
          <w:szCs w:val="24"/>
        </w:rPr>
      </w:pPr>
    </w:p>
    <w:p>
      <w:pPr>
        <w:ind w:firstLine="312"/>
        <w:jc w:val="both"/>
        <w:rPr>
          <w:szCs w:val="24"/>
        </w:rPr>
      </w:pPr>
    </w:p>
    <w:p>
      <w:pPr>
        <w:ind w:firstLine="771"/>
        <w:jc w:val="both"/>
        <w:rPr>
          <w:szCs w:val="24"/>
        </w:rPr>
      </w:pPr>
      <m:oMath>
        <m:sSub>
          <m:sSubPr>
            <m:ctrlPr>
              <w:rPr>
                <w:rFonts w:ascii="Cambria Math" w:hAnsi="Cambria Math"/>
                <w:i/>
                <w:szCs w:val="24"/>
              </w:rPr>
            </m:ctrlPr>
          </m:sSubPr>
          <m:e>
            <m:r>
              <w:rPr>
                <w:rFonts w:ascii="Cambria Math"/>
                <w:szCs w:val="24"/>
              </w:rPr>
              <m:t>P</m:t>
            </m:r>
          </m:e>
          <m:sub>
            <m:r>
              <w:rPr>
                <w:rFonts w:ascii="Cambria Math"/>
                <w:szCs w:val="24"/>
              </w:rPr>
              <m:t>i</m:t>
            </m:r>
          </m:sub>
        </m:sSub>
      </m:oMath>
      <w:r>
        <w:rPr>
          <w:szCs w:val="24"/>
        </w:rPr>
        <w:t>– pajamos, gautos teikiant atitinkamą Universaliųjų paslaugų teikimo taisyklių 4 punkte nurodytą įperkamą universaliąją paslaugą,</w:t>
      </w:r>
      <w:r>
        <w:rPr>
          <w:bCs/>
          <w:szCs w:val="24"/>
        </w:rPr>
        <w:t xml:space="preserve"> </w:t>
      </w:r>
      <w:r>
        <w:rPr>
          <w:szCs w:val="24"/>
        </w:rPr>
        <w:t>ataskaitiniu laikotarpiu;</w:t>
      </w:r>
    </w:p>
    <w:p>
      <w:pPr>
        <w:ind w:firstLine="771"/>
        <w:jc w:val="both"/>
        <w:rPr>
          <w:szCs w:val="24"/>
        </w:rPr>
      </w:pPr>
      <m:oMath>
        <m:sSub>
          <m:sSubPr>
            <m:ctrlPr>
              <w:rPr>
                <w:rFonts w:ascii="Cambria Math" w:hAnsi="Cambria Math"/>
                <w:i/>
                <w:szCs w:val="24"/>
              </w:rPr>
            </m:ctrlPr>
          </m:sSubPr>
          <m:e>
            <m:r>
              <w:rPr>
                <w:rFonts w:ascii="Cambria Math"/>
                <w:szCs w:val="24"/>
              </w:rPr>
              <m:t>S</m:t>
            </m:r>
          </m:e>
          <m:sub>
            <m:r>
              <w:rPr>
                <w:rFonts w:ascii="Cambria Math"/>
                <w:szCs w:val="24"/>
              </w:rPr>
              <m:t>i</m:t>
            </m:r>
          </m:sub>
        </m:sSub>
      </m:oMath>
      <w:r>
        <w:rPr>
          <w:szCs w:val="24"/>
        </w:rPr>
        <w:t>– sąnaudos, patirtos teikiant atitinkamą Universaliųjų paslaugų teikimo taisyklių 4 punkte nurodytą įperkamą universaliąją paslaugą, ataskaitiniu laikotarpiu;</w:t>
      </w:r>
    </w:p>
    <w:p>
      <w:pPr>
        <w:ind w:firstLine="709"/>
        <w:jc w:val="both"/>
        <w:rPr>
          <w:bCs/>
          <w:color w:val="000000"/>
          <w:szCs w:val="24"/>
        </w:rPr>
      </w:pPr>
      <w:r>
        <w:rPr>
          <w:bCs/>
          <w:i/>
          <w:iCs/>
          <w:color w:val="000000"/>
          <w:szCs w:val="24"/>
        </w:rPr>
        <w:t>n</w:t>
      </w:r>
      <w:r>
        <w:rPr>
          <w:bCs/>
          <w:color w:val="000000"/>
          <w:szCs w:val="24"/>
        </w:rPr>
        <w:t xml:space="preserve"> – teikėjo suteiktų </w:t>
      </w:r>
      <w:r>
        <w:rPr>
          <w:color w:val="000000"/>
          <w:szCs w:val="24"/>
        </w:rPr>
        <w:t xml:space="preserve">įperkamų universaliųjų paslaugų </w:t>
      </w:r>
      <w:r>
        <w:rPr>
          <w:bCs/>
          <w:color w:val="000000"/>
          <w:szCs w:val="24"/>
        </w:rPr>
        <w:t xml:space="preserve">kiekis; </w:t>
      </w:r>
    </w:p>
    <w:p>
      <w:pPr>
        <w:ind w:firstLine="709"/>
        <w:jc w:val="both"/>
        <w:rPr>
          <w:bCs/>
          <w:szCs w:val="24"/>
        </w:rPr>
      </w:pPr>
      <w:r>
        <w:rPr>
          <w:bCs/>
          <w:i/>
          <w:iCs/>
          <w:szCs w:val="24"/>
        </w:rPr>
        <w:t>i</w:t>
      </w:r>
      <w:r>
        <w:rPr>
          <w:bCs/>
          <w:szCs w:val="24"/>
        </w:rPr>
        <w:t xml:space="preserve"> – indeksas, nurodantis konkrečią </w:t>
      </w:r>
      <w:r>
        <w:rPr>
          <w:color w:val="000000"/>
          <w:szCs w:val="24"/>
        </w:rPr>
        <w:t>Universaliųjų paslaugų teikimo taisyklių 4 punkte nurodytą</w:t>
      </w:r>
      <w:r>
        <w:rPr>
          <w:bCs/>
          <w:szCs w:val="24"/>
        </w:rPr>
        <w:t xml:space="preserve"> įperkamą universaliąją paslaugą; </w:t>
      </w:r>
      <w:r>
        <w:rPr>
          <w:bCs/>
          <w:i/>
          <w:iCs/>
          <w:szCs w:val="24"/>
        </w:rPr>
        <w:t>i</w:t>
      </w:r>
      <w:r>
        <w:rPr>
          <w:bCs/>
          <w:szCs w:val="24"/>
        </w:rPr>
        <w:t xml:space="preserve"> kinta nuo 1 iki </w:t>
      </w:r>
      <w:r>
        <w:rPr>
          <w:bCs/>
          <w:i/>
          <w:iCs/>
          <w:szCs w:val="24"/>
        </w:rPr>
        <w:t>n</w:t>
      </w:r>
      <w:r>
        <w:rPr>
          <w:bCs/>
          <w:szCs w:val="24"/>
        </w:rPr>
        <w:t>;</w:t>
      </w:r>
    </w:p>
    <w:p>
      <w:pPr>
        <w:ind w:firstLine="771"/>
        <w:jc w:val="both"/>
        <w:rPr>
          <w:color w:val="000000"/>
          <w:szCs w:val="24"/>
        </w:rPr>
      </w:pPr>
      <m:oMath>
        <m:r>
          <w:rPr>
            <w:rFonts w:ascii="Cambria Math"/>
            <w:szCs w:val="24"/>
          </w:rPr>
          <m:t>NN</m:t>
        </m:r>
      </m:oMath>
      <w:r>
        <w:rPr>
          <w:color w:val="000000"/>
          <w:szCs w:val="24"/>
        </w:rPr>
        <w:t>– nemateriali nauda, patiriama dėl įpareigojimo teikti įperkamas universaliąsias paslaugas, įvertinta pinigine verte.</w:t>
      </w:r>
    </w:p>
    <w:p>
      <w:pPr>
        <w:ind w:firstLine="709"/>
        <w:jc w:val="both"/>
        <w:rPr>
          <w:szCs w:val="24"/>
        </w:rPr>
      </w:pPr>
      <w:r>
        <w:rPr>
          <w:szCs w:val="24"/>
        </w:rPr>
        <w:t>28</w:t>
      </w:r>
      <w:r>
        <w:rPr>
          <w:szCs w:val="24"/>
        </w:rPr>
        <w:t xml:space="preserve">. Teikėjui gali būti kompensuojami tik tie įperkamų universaliųjų paslaugų teikimo nuostoliai, kurie buvo patirti dėl to, kad teikėjas visą ataskaitinį laikotarpį įperkamas universaliąsias paslaugas teikė </w:t>
      </w:r>
      <w:r>
        <w:rPr>
          <w:bCs/>
          <w:szCs w:val="32"/>
        </w:rPr>
        <w:t xml:space="preserve">Tarnybos </w:t>
      </w:r>
      <w:r>
        <w:rPr>
          <w:rFonts w:ascii="TimesLT" w:hAnsi="TimesLT"/>
          <w:bCs/>
          <w:szCs w:val="32"/>
        </w:rPr>
        <w:t xml:space="preserve"> nustatytus reikalavimus atitinkančiomis </w:t>
      </w:r>
      <w:r>
        <w:rPr>
          <w:szCs w:val="24"/>
        </w:rPr>
        <w:t>kainomis.</w:t>
      </w:r>
    </w:p>
    <w:p>
      <w:pPr>
        <w:ind w:firstLine="312"/>
        <w:jc w:val="both"/>
        <w:rPr>
          <w:szCs w:val="24"/>
        </w:rPr>
      </w:pPr>
    </w:p>
    <w:p>
      <w:pPr>
        <w:ind w:firstLine="312"/>
        <w:jc w:val="center"/>
        <w:rPr>
          <w:b/>
          <w:bCs/>
          <w:szCs w:val="24"/>
        </w:rPr>
      </w:pPr>
      <w:r>
        <w:rPr>
          <w:b/>
          <w:bCs/>
          <w:szCs w:val="24"/>
        </w:rPr>
        <w:t>V</w:t>
      </w:r>
      <w:r>
        <w:rPr>
          <w:b/>
          <w:bCs/>
          <w:szCs w:val="24"/>
        </w:rPr>
        <w:t xml:space="preserve"> SKYRIUS</w:t>
      </w:r>
    </w:p>
    <w:p>
      <w:pPr>
        <w:jc w:val="center"/>
        <w:rPr>
          <w:b/>
          <w:bCs/>
          <w:caps/>
          <w:szCs w:val="24"/>
        </w:rPr>
      </w:pPr>
      <w:r>
        <w:rPr>
          <w:b/>
          <w:bCs/>
          <w:caps/>
          <w:szCs w:val="24"/>
        </w:rPr>
        <w:t>universaliųjų paslaugų teikimo nuostolių ir (arba) įperkamų universaliųjų paslaugų teikimo NUOSTOLIŲ KOMPENSAVIMO MECHANIZMO ĮGYVENDINIMO TVARKA</w:t>
      </w:r>
    </w:p>
    <w:p>
      <w:pPr>
        <w:ind w:firstLine="312"/>
        <w:jc w:val="both"/>
        <w:rPr>
          <w:szCs w:val="24"/>
        </w:rPr>
      </w:pPr>
    </w:p>
    <w:p>
      <w:pPr>
        <w:ind w:firstLine="709"/>
        <w:jc w:val="both"/>
        <w:rPr>
          <w:szCs w:val="24"/>
        </w:rPr>
      </w:pPr>
      <w:r>
        <w:rPr>
          <w:szCs w:val="24"/>
        </w:rPr>
        <w:t>29</w:t>
      </w:r>
      <w:r>
        <w:rPr>
          <w:szCs w:val="24"/>
        </w:rPr>
        <w:t>. Universaliųjų paslaugų teikimo nuostoliai ir (arba) įperkamų universaliųjų paslaugų teikimo nuostoliai teikėjui kompensuojami Universaliųjų paslaugų teikimo nuostolių kompensavimo taisyklių 1</w:t>
      </w:r>
      <w:r>
        <w:rPr>
          <w:szCs w:val="24"/>
          <w:lang w:val="en-US"/>
        </w:rPr>
        <w:t>6</w:t>
      </w:r>
      <w:r>
        <w:rPr>
          <w:szCs w:val="24"/>
        </w:rPr>
        <w:t xml:space="preserve">-21 punktų nustatyta tvarka. </w:t>
      </w:r>
    </w:p>
    <w:p>
      <w:pPr>
        <w:ind w:firstLine="709"/>
        <w:jc w:val="both"/>
        <w:rPr>
          <w:szCs w:val="24"/>
        </w:rPr>
      </w:pPr>
      <w:r>
        <w:rPr>
          <w:szCs w:val="24"/>
        </w:rPr>
        <w:t>30</w:t>
      </w:r>
      <w:r>
        <w:rPr>
          <w:szCs w:val="24"/>
        </w:rPr>
        <w:t>. Tarnyba, įgyvendindama universaliųjų paslaugų teikimo nuostolių ir (arba) įperkamų universaliųjų paslaugų teikimo nuostolių kompensavimo mechanizmą:</w:t>
      </w:r>
    </w:p>
    <w:p>
      <w:pPr>
        <w:ind w:firstLine="709"/>
        <w:jc w:val="both"/>
        <w:rPr>
          <w:szCs w:val="24"/>
        </w:rPr>
      </w:pPr>
      <w:r>
        <w:rPr>
          <w:szCs w:val="24"/>
        </w:rPr>
        <w:t>30.1</w:t>
      </w:r>
      <w:r>
        <w:rPr>
          <w:szCs w:val="24"/>
        </w:rPr>
        <w:t>. organizuoja ir vykdo universaliųjų paslaugų teikimo nuostolių ir (arba) įperkamų universaliųjų paslaugų teikimo nuostolių kompensavimo sąskaitos, kurios lėšas sudaro viešųjų elektroninių ryšių tinklų ir (arba) viešųjų elektroninių ryšių paslaugų teikėjų įmokos, (toliau – sąskaita) administravimą;</w:t>
      </w:r>
    </w:p>
    <w:p>
      <w:pPr>
        <w:ind w:firstLine="709"/>
        <w:jc w:val="both"/>
        <w:rPr>
          <w:szCs w:val="24"/>
        </w:rPr>
      </w:pPr>
      <w:r>
        <w:rPr>
          <w:szCs w:val="24"/>
        </w:rPr>
        <w:t>30.2</w:t>
      </w:r>
      <w:r>
        <w:rPr>
          <w:szCs w:val="24"/>
        </w:rPr>
        <w:t>. organizuoja ir vykdo duomenų, reikalingų viešųjų elektroninių ryšių tinklų ir (arba) viešųjų elektroninių ryšių paslaugų teikėjų įmokoms apskaičiuoti, surinkimą;</w:t>
      </w:r>
    </w:p>
    <w:p>
      <w:pPr>
        <w:ind w:firstLine="709"/>
        <w:jc w:val="both"/>
        <w:rPr>
          <w:szCs w:val="24"/>
        </w:rPr>
      </w:pPr>
      <w:r>
        <w:rPr>
          <w:szCs w:val="24"/>
        </w:rPr>
        <w:t>30.3</w:t>
      </w:r>
      <w:r>
        <w:rPr>
          <w:szCs w:val="24"/>
        </w:rPr>
        <w:t>. apskaičiuoja viešųjų elektroninių ryšių tinklų ir (arba) viešųjų elektroninių ryšių paslaugų teikėjų įmokų į sąskaitą dydžius;</w:t>
      </w:r>
    </w:p>
    <w:p>
      <w:pPr>
        <w:ind w:firstLine="709"/>
        <w:jc w:val="both"/>
        <w:rPr>
          <w:szCs w:val="24"/>
        </w:rPr>
      </w:pPr>
      <w:r>
        <w:rPr>
          <w:szCs w:val="24"/>
          <w:lang w:val="en-US"/>
        </w:rPr>
        <w:t>30.4</w:t>
      </w:r>
      <w:r>
        <w:rPr>
          <w:szCs w:val="24"/>
          <w:lang w:val="en-US"/>
        </w:rPr>
        <w:t xml:space="preserve">. </w:t>
      </w:r>
      <w:r>
        <w:rPr>
          <w:szCs w:val="24"/>
        </w:rPr>
        <w:t>teisės aktų nustatyta tvarka kreipiasi dėl</w:t>
      </w:r>
      <w:r>
        <w:rPr>
          <w:szCs w:val="24"/>
          <w:lang w:val="en-US"/>
        </w:rPr>
        <w:t xml:space="preserve"> </w:t>
      </w:r>
      <w:r>
        <w:rPr>
          <w:szCs w:val="24"/>
        </w:rPr>
        <w:t xml:space="preserve"> viešųjų elektroninių ryšių tinklų ir (arba) viešųjų elektroninių ryšių paslaugų teikėjų nesumokėtų įmokų į sąskaitą išieškojimo;</w:t>
      </w:r>
    </w:p>
    <w:p>
      <w:pPr>
        <w:ind w:firstLine="709"/>
        <w:jc w:val="both"/>
        <w:rPr>
          <w:szCs w:val="24"/>
        </w:rPr>
      </w:pPr>
      <w:r>
        <w:rPr>
          <w:szCs w:val="24"/>
        </w:rPr>
        <w:t>30.5</w:t>
      </w:r>
      <w:r>
        <w:rPr>
          <w:szCs w:val="24"/>
        </w:rPr>
        <w:t>. atlieka kitas su sąskaitos administravimu susijusias funkcijas.</w:t>
      </w:r>
    </w:p>
    <w:p>
      <w:pPr>
        <w:ind w:firstLine="709"/>
        <w:jc w:val="both"/>
        <w:rPr>
          <w:szCs w:val="24"/>
        </w:rPr>
      </w:pPr>
      <w:r>
        <w:rPr>
          <w:szCs w:val="24"/>
        </w:rPr>
        <w:t>31</w:t>
      </w:r>
      <w:r>
        <w:rPr>
          <w:szCs w:val="24"/>
        </w:rPr>
        <w:t>. Tarnyba, per 10 darbo dienų nuo sprendimo kompensuoti universaliųjų paslaugų teikimo nuostolius ir (arba) įperkamų universaliųjų paslaugų teikimo nuostolius priėmimo pagal Universaliųjų paslaugų teikimo nuostolių kompensavimo taisyklių 15.1 papunktį dienos, apskaičiuoja įmokų į sąskaitą dydžius, kuriuos kartu su informacija apie įmokų mokėjimo tvarką ir sąskaitos numerį išsiunčia viešųjų elektroninių ryšių tinklų ir (arba) viešųjų elektroninių ryšių paslaugų teikėjams, dalyvaujantiems universaliųjų paslaugų teikimo nuostolių ir (arba) įperkamų universaliųjų paslaugų teikimo nuostolių kompensavimo mechanizme.</w:t>
      </w:r>
    </w:p>
    <w:p>
      <w:pPr>
        <w:ind w:firstLine="709"/>
        <w:jc w:val="both"/>
        <w:rPr>
          <w:szCs w:val="24"/>
        </w:rPr>
      </w:pPr>
      <w:r>
        <w:rPr>
          <w:szCs w:val="24"/>
        </w:rPr>
        <w:t>32</w:t>
      </w:r>
      <w:r>
        <w:rPr>
          <w:szCs w:val="24"/>
        </w:rPr>
        <w:t xml:space="preserve">. Viešųjų elektroninių ryšių tinklų ir (arba) viešųjų elektroninių ryšių paslaugų teikėjai, išskyrus Universaliųjų paslaugų teikimo nuostolių kompensavimo taisyklių 19 punkte nurodytus viešųjų elektroninių ryšių tinklų ir (arba) viešųjų elektroninių ryšių paslaugų teikėjus, kurie nedalyvauja įgyvendinant universaliųjų paslaugų teikimo nuostolių ir (arba) įperkamų universaliųjų paslaugų teikimo nuostolių kompensavimo mechanizmą, įmoką į sąskaitą privalo sumokėti iki sekančio ataskaitinio laikotarpio liepos 1 d. </w:t>
      </w:r>
    </w:p>
    <w:p>
      <w:pPr>
        <w:ind w:firstLine="709"/>
        <w:jc w:val="both"/>
        <w:rPr>
          <w:szCs w:val="24"/>
        </w:rPr>
      </w:pPr>
      <w:r>
        <w:rPr>
          <w:szCs w:val="24"/>
        </w:rPr>
        <w:t>33</w:t>
      </w:r>
      <w:r>
        <w:rPr>
          <w:szCs w:val="24"/>
        </w:rPr>
        <w:t>. Viešųjų elektroninių ryšių tinklų ir (arba) viešųjų elektroninių ryšių paslaugų teikėjų įmokos teikėjui, dėl kurio priimtas Tarnybos sprendimas kompensuoti jo patirtus universaliųjų paslaugų teikimo nuostolius ir (arba) įperkamų universaliųjų paslaugų teikimo nuostolius, pervedamos iki sekančio ataskaitinio laikotarpio liepos 15 d.</w:t>
      </w:r>
    </w:p>
    <w:p>
      <w:pPr>
        <w:ind w:firstLine="709"/>
        <w:jc w:val="both"/>
        <w:rPr>
          <w:szCs w:val="24"/>
        </w:rPr>
      </w:pPr>
      <w:r>
        <w:rPr>
          <w:szCs w:val="24"/>
        </w:rPr>
        <w:t>34</w:t>
      </w:r>
      <w:r>
        <w:rPr>
          <w:szCs w:val="24"/>
        </w:rPr>
        <w:t xml:space="preserve">. Jeigu ne visi viešųjų elektroninių ryšių tinklų ir (arba) viešųjų elektroninių ryšių paslaugų teikėjai yra pervedę įmokas į sąskaitą iki Taisyklių 32 punkte nurodytos datos, Tarnyba atlieka šiuos veiksmus: </w:t>
      </w:r>
    </w:p>
    <w:p>
      <w:pPr>
        <w:ind w:firstLine="709"/>
        <w:jc w:val="both"/>
        <w:rPr>
          <w:sz w:val="16"/>
          <w:szCs w:val="16"/>
        </w:rPr>
      </w:pPr>
      <w:r>
        <w:rPr>
          <w:szCs w:val="24"/>
        </w:rPr>
        <w:t>34.1</w:t>
      </w:r>
      <w:r>
        <w:rPr>
          <w:szCs w:val="24"/>
        </w:rPr>
        <w:t>. tuo atveju, kai universaliųjų paslaugų teikimo nuostoliai ir (arba) įperkamų universaliųjų paslaugų teikimo nuostoliai kompensuotini vienam teikėjui, perveda jam visą sąskaitoje sukauptą pinigų sumą;</w:t>
      </w:r>
    </w:p>
    <w:p>
      <w:pPr>
        <w:ind w:firstLine="709"/>
        <w:jc w:val="both"/>
        <w:rPr>
          <w:szCs w:val="24"/>
        </w:rPr>
      </w:pPr>
      <w:r>
        <w:rPr>
          <w:szCs w:val="24"/>
        </w:rPr>
        <w:t>34.2</w:t>
      </w:r>
      <w:r>
        <w:rPr>
          <w:szCs w:val="24"/>
        </w:rPr>
        <w:t>. tuo atveju, kai universaliųjų paslaugų teikimo nuostoliai ir (arba) įperkamų universaliųjų paslaugų teikimo nuostoliai kompensuotini keliems teikėjams, perveda kiekvienam teikėjui sąskaitoje sukauptos pinigų sumos dalį, proporcingą kiekvienam teikėjui apskaičiuotų kompensuotinų universaliųjų paslaugų teikimo nuostolių ir (arba) įperkamų universaliųjų paslaugų teikimo nuostolių dydžiui.</w:t>
      </w:r>
    </w:p>
    <w:p>
      <w:pPr>
        <w:ind w:firstLine="312"/>
        <w:jc w:val="both"/>
        <w:rPr>
          <w:szCs w:val="24"/>
        </w:rPr>
      </w:pPr>
    </w:p>
    <w:p>
      <w:pPr>
        <w:ind w:firstLine="312"/>
        <w:jc w:val="center"/>
        <w:rPr>
          <w:b/>
          <w:bCs/>
          <w:szCs w:val="24"/>
        </w:rPr>
      </w:pPr>
      <w:r>
        <w:rPr>
          <w:b/>
          <w:bCs/>
          <w:szCs w:val="24"/>
        </w:rPr>
        <w:t>VI</w:t>
      </w:r>
      <w:r>
        <w:rPr>
          <w:b/>
          <w:bCs/>
          <w:szCs w:val="24"/>
        </w:rPr>
        <w:t xml:space="preserve"> SKYRIUS</w:t>
      </w:r>
    </w:p>
    <w:p>
      <w:pPr>
        <w:jc w:val="center"/>
        <w:rPr>
          <w:b/>
          <w:bCs/>
          <w:caps/>
          <w:szCs w:val="24"/>
        </w:rPr>
      </w:pPr>
      <w:r>
        <w:rPr>
          <w:b/>
          <w:bCs/>
          <w:caps/>
          <w:szCs w:val="24"/>
        </w:rPr>
        <w:t>BAIGIAMOSIOS NUOSTATOS</w:t>
      </w:r>
    </w:p>
    <w:p>
      <w:pPr>
        <w:ind w:firstLine="709"/>
        <w:jc w:val="both"/>
        <w:rPr>
          <w:szCs w:val="24"/>
        </w:rPr>
      </w:pPr>
    </w:p>
    <w:p>
      <w:pPr>
        <w:ind w:firstLine="709"/>
        <w:jc w:val="both"/>
        <w:rPr>
          <w:szCs w:val="24"/>
        </w:rPr>
      </w:pPr>
      <w:r>
        <w:rPr>
          <w:szCs w:val="24"/>
        </w:rPr>
        <w:t>35</w:t>
      </w:r>
      <w:r>
        <w:rPr>
          <w:szCs w:val="24"/>
        </w:rPr>
        <w:t>. Tarnyba parengia ir iki sekančio ataskaitinio laikotarpio gegužės 1 d. Tarnybos interneto svetainėje adresu www.rrt.lt</w:t>
      </w:r>
      <w:r>
        <w:rPr>
          <w:sz w:val="32"/>
          <w:szCs w:val="32"/>
        </w:rPr>
        <w:t xml:space="preserve"> </w:t>
      </w:r>
      <w:r>
        <w:rPr>
          <w:szCs w:val="24"/>
        </w:rPr>
        <w:t>paskelbia praėjusio ataskaitinio laikotarpio universaliųjų paslaugų teikimo nuostolių ir (arba) įperkamų universaliųjų paslaugų teikimo nuostolių metinę ataskaitą, kurioje pateikiama informacija apie kompensuotiną universaliųjų paslaugų teikimo nuostolių ir (arba) įperkamų universaliųjų paslaugų teikimo nuostolių dydį, jo apskaičiavimą, įskaitant duomenis apie nematerialią naudą, visų viešųjų elektroninių ryšių tinklų ir (arba) viešųjų elektroninių ryšių paslaugų teikėjų, kurie dalyvauja įgyvendinant universaliųjų paslaugų teikimo nuostolių ir (arba) įperkamų universaliųjų paslaugų teikimo nuostolių kompensavimo mechanizmą, sumokėtas įmokas.</w:t>
      </w:r>
    </w:p>
    <w:p>
      <w:pPr>
        <w:ind w:firstLine="709"/>
        <w:jc w:val="both"/>
        <w:rPr>
          <w:szCs w:val="24"/>
        </w:rPr>
      </w:pPr>
      <w:r>
        <w:rPr>
          <w:szCs w:val="24"/>
        </w:rPr>
        <w:t>36</w:t>
      </w:r>
      <w:r>
        <w:rPr>
          <w:szCs w:val="24"/>
        </w:rPr>
        <w:t>. Ūkio subjektai, pažeidę Taisyklių reikalavimus, atsako Elektroninių ryšių įstatymo nustatyta tvarka ir sąlygomis.</w:t>
      </w:r>
    </w:p>
    <w:p>
      <w:pPr>
        <w:ind w:firstLine="709"/>
        <w:jc w:val="both"/>
        <w:rPr>
          <w:szCs w:val="24"/>
        </w:rPr>
      </w:pPr>
      <w:r>
        <w:rPr>
          <w:szCs w:val="24"/>
        </w:rPr>
        <w:t>37</w:t>
      </w:r>
      <w:r>
        <w:rPr>
          <w:szCs w:val="24"/>
        </w:rPr>
        <w:t xml:space="preserve">. Tarnybos veiksmai ar neveikimas, susiję su Taisyklių </w:t>
      </w:r>
      <w:r>
        <w:rPr>
          <w:color w:val="000000"/>
          <w:szCs w:val="24"/>
        </w:rPr>
        <w:t xml:space="preserve">nuostatų taikymu ir </w:t>
      </w:r>
      <w:r>
        <w:rPr>
          <w:szCs w:val="24"/>
        </w:rPr>
        <w:t xml:space="preserve">įgyvendinimu, skundžiami </w:t>
      </w:r>
      <w:r>
        <w:rPr>
          <w:color w:val="000000"/>
          <w:szCs w:val="24"/>
        </w:rPr>
        <w:t>Lietuvos Respublikos administracinių bylų teisenos įstatymo</w:t>
      </w:r>
      <w:r>
        <w:rPr>
          <w:rFonts w:ascii="TimesLT" w:hAnsi="TimesLT"/>
          <w:color w:val="000000"/>
          <w:szCs w:val="24"/>
        </w:rPr>
        <w:t xml:space="preserve"> </w:t>
      </w:r>
      <w:r>
        <w:rPr>
          <w:szCs w:val="24"/>
        </w:rPr>
        <w:t>nustatyta tvarka ir sąlygomis.</w:t>
      </w:r>
    </w:p>
    <w:p>
      <w:pPr>
        <w:jc w:val="center"/>
        <w:rPr>
          <w:szCs w:val="24"/>
        </w:rPr>
      </w:pPr>
      <w:r>
        <w:rPr>
          <w:szCs w:val="24"/>
        </w:rPr>
        <w:t>______________</w:t>
      </w:r>
    </w:p>
    <w:p>
      <w:pPr>
        <w:jc w:val="center"/>
      </w:pPr>
    </w:p>
    <w:p>
      <w:pPr>
        <w:widowControl w:val="0"/>
        <w:ind w:right="-1" w:firstLine="11057"/>
        <w:sectPr>
          <w:pgSz w:w="11906" w:h="16838"/>
          <w:pgMar w:top="1134" w:right="567" w:bottom="1134" w:left="1701" w:header="709" w:footer="709" w:gutter="0"/>
          <w:pgNumType w:start="1"/>
          <w:cols w:space="708"/>
          <w:titlePg/>
          <w:docGrid w:linePitch="360"/>
        </w:sectPr>
      </w:pPr>
    </w:p>
    <w:p>
      <w:pPr>
        <w:widowControl w:val="0"/>
        <w:ind w:firstLine="11057"/>
        <w:rPr>
          <w:color w:val="000000"/>
          <w:szCs w:val="24"/>
        </w:rPr>
      </w:pPr>
      <w:r>
        <w:rPr>
          <w:color w:val="000000"/>
          <w:szCs w:val="24"/>
        </w:rPr>
        <w:t xml:space="preserve">Universaliųjų elektroninių ryšių </w:t>
      </w:r>
    </w:p>
    <w:p>
      <w:pPr>
        <w:widowControl w:val="0"/>
        <w:ind w:firstLine="11057"/>
        <w:rPr>
          <w:color w:val="000000"/>
          <w:szCs w:val="24"/>
        </w:rPr>
      </w:pPr>
      <w:r>
        <w:rPr>
          <w:color w:val="000000"/>
          <w:szCs w:val="24"/>
        </w:rPr>
        <w:t xml:space="preserve">paslaugų teikimo nuostolių </w:t>
      </w:r>
    </w:p>
    <w:p>
      <w:pPr>
        <w:widowControl w:val="0"/>
        <w:ind w:firstLine="11057"/>
        <w:rPr>
          <w:color w:val="000000"/>
          <w:szCs w:val="24"/>
        </w:rPr>
      </w:pPr>
      <w:r>
        <w:rPr>
          <w:color w:val="000000"/>
          <w:szCs w:val="24"/>
        </w:rPr>
        <w:t>apskaičiavimo taisyklių</w:t>
      </w:r>
    </w:p>
    <w:p>
      <w:pPr>
        <w:widowControl w:val="0"/>
        <w:ind w:firstLine="11057"/>
        <w:rPr>
          <w:color w:val="000000"/>
          <w:szCs w:val="24"/>
        </w:rPr>
      </w:pPr>
      <w:r>
        <w:rPr>
          <w:color w:val="000000"/>
          <w:szCs w:val="24"/>
        </w:rPr>
        <w:t>1</w:t>
      </w:r>
      <w:r>
        <w:rPr>
          <w:color w:val="000000"/>
          <w:szCs w:val="24"/>
        </w:rPr>
        <w:t xml:space="preserve"> priedas </w:t>
      </w:r>
    </w:p>
    <w:p>
      <w:pPr>
        <w:widowControl w:val="0"/>
        <w:ind w:firstLine="6379"/>
        <w:rPr>
          <w:color w:val="000000"/>
          <w:szCs w:val="24"/>
        </w:rPr>
      </w:pPr>
    </w:p>
    <w:p>
      <w:pPr>
        <w:widowControl w:val="0"/>
        <w:ind w:firstLine="6379"/>
        <w:rPr>
          <w:color w:val="000000"/>
          <w:szCs w:val="24"/>
        </w:rPr>
      </w:pPr>
    </w:p>
    <w:p>
      <w:pPr>
        <w:jc w:val="center"/>
        <w:rPr>
          <w:rFonts w:eastAsia="STHupo"/>
          <w:b/>
          <w:bCs/>
          <w:szCs w:val="24"/>
        </w:rPr>
      </w:pPr>
      <w:r>
        <w:rPr>
          <w:rFonts w:eastAsia="STHupo"/>
          <w:b/>
          <w:bCs/>
          <w:szCs w:val="24"/>
        </w:rPr>
        <w:t xml:space="preserve">DĖL ĮPAREIGOJIMO UŽTIKRINTI UNIVERSALIŲJŲ PASLAUGŲ PRIEINAMUMĄ IR JAS TEIKTI PATIRTŲ NUOSTOLIŲ APSKAIČIAVIMO ATASKAITA* </w:t>
      </w:r>
    </w:p>
    <w:p>
      <w:pPr>
        <w:widowControl w:val="0"/>
        <w:ind w:firstLine="6379"/>
        <w:rPr>
          <w:color w:val="000000"/>
          <w:szCs w:val="24"/>
        </w:rPr>
      </w:pPr>
    </w:p>
    <w:tbl>
      <w:tblPr>
        <w:tblW w:w="1426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21"/>
        <w:gridCol w:w="3544"/>
        <w:gridCol w:w="3827"/>
        <w:gridCol w:w="2977"/>
      </w:tblGrid>
      <w:tr>
        <w:trPr>
          <w:cantSplit/>
          <w:trHeight w:val="23"/>
        </w:trPr>
        <w:tc>
          <w:tcPr>
            <w:tcW w:w="3921" w:type="dxa"/>
            <w:shd w:val="clear" w:color="auto" w:fill="FFFFFF"/>
          </w:tcPr>
          <w:p>
            <w:pPr>
              <w:widowControl w:val="0"/>
              <w:jc w:val="center"/>
              <w:rPr>
                <w:rFonts w:eastAsia="STHupo"/>
                <w:b/>
                <w:bCs/>
                <w:color w:val="000000"/>
                <w:sz w:val="20"/>
              </w:rPr>
            </w:pPr>
            <w:r>
              <w:rPr>
                <w:rFonts w:eastAsia="STHupo"/>
                <w:b/>
                <w:bCs/>
                <w:color w:val="000000"/>
                <w:sz w:val="20"/>
              </w:rPr>
              <w:t>Universaliosios elektroninių ryšių</w:t>
            </w:r>
            <w:r>
              <w:rPr>
                <w:rFonts w:eastAsia="STHupo"/>
                <w:b/>
                <w:bCs/>
                <w:sz w:val="20"/>
              </w:rPr>
              <w:t xml:space="preserve"> </w:t>
            </w:r>
            <w:r>
              <w:rPr>
                <w:rFonts w:eastAsia="STHupo"/>
                <w:b/>
                <w:bCs/>
                <w:color w:val="000000"/>
                <w:sz w:val="20"/>
              </w:rPr>
              <w:t>paslaugos</w:t>
            </w:r>
          </w:p>
        </w:tc>
        <w:tc>
          <w:tcPr>
            <w:tcW w:w="3544" w:type="dxa"/>
            <w:shd w:val="clear" w:color="auto" w:fill="FFFFFF"/>
          </w:tcPr>
          <w:p>
            <w:pPr>
              <w:widowControl w:val="0"/>
              <w:jc w:val="center"/>
              <w:rPr>
                <w:rFonts w:eastAsia="STHupo"/>
                <w:b/>
                <w:bCs/>
                <w:color w:val="000000"/>
                <w:sz w:val="20"/>
              </w:rPr>
            </w:pPr>
            <w:r>
              <w:rPr>
                <w:rFonts w:eastAsia="STHupo"/>
                <w:b/>
                <w:bCs/>
                <w:sz w:val="20"/>
              </w:rPr>
              <w:t xml:space="preserve">Pastovių ir kintamų ribinių sąnaudų, patirtų dėl įpareigojimo užtikrinti universaliųjų elektroninių ryšių paslaugų prieinamumą ir teikti universaliąsias </w:t>
            </w:r>
            <w:r>
              <w:rPr>
                <w:rFonts w:eastAsia="STHupo"/>
                <w:b/>
                <w:bCs/>
                <w:color w:val="000000"/>
                <w:sz w:val="20"/>
              </w:rPr>
              <w:t>elektroninių ryšių</w:t>
            </w:r>
            <w:r>
              <w:rPr>
                <w:rFonts w:eastAsia="STHupo"/>
                <w:b/>
                <w:bCs/>
                <w:sz w:val="20"/>
              </w:rPr>
              <w:t xml:space="preserve"> paslaugas ataskaitiniu laikotarpiu, </w:t>
            </w:r>
            <w:r>
              <w:rPr>
                <w:rFonts w:eastAsia="STHupo"/>
                <w:sz w:val="20"/>
              </w:rPr>
              <w:t>suma,</w:t>
            </w:r>
            <w:r>
              <w:rPr>
                <w:rFonts w:eastAsia="STHupo"/>
                <w:color w:val="000000"/>
                <w:sz w:val="20"/>
              </w:rPr>
              <w:t xml:space="preserve"> eurais</w:t>
            </w:r>
            <w:r>
              <w:rPr>
                <w:rFonts w:eastAsia="STHupo"/>
                <w:sz w:val="20"/>
              </w:rPr>
              <w:t xml:space="preserve"> </w:t>
            </w:r>
            <m:oMath>
              <m:r>
                <w:rPr>
                  <w:rFonts w:ascii="Cambria Math" w:hAnsi="Cambria Math"/>
                  <w:sz w:val="20"/>
                </w:rPr>
                <m:t>(</m:t>
              </m:r>
              <m:f>
                <m:fPr>
                  <m:ctrlPr>
                    <w:rPr>
                      <w:rFonts w:ascii="Cambria Math" w:hAnsi="Cambria Math"/>
                      <w:i/>
                      <w:sz w:val="20"/>
                    </w:rPr>
                  </m:ctrlPr>
                </m:fPr>
                <m:num>
                  <m:r>
                    <m:rPr>
                      <m:sty m:val="p"/>
                    </m:rPr>
                    <w:rPr>
                      <w:rFonts w:ascii="Cambria Math" w:hAnsi="Cambria Math"/>
                      <w:sz w:val="20"/>
                    </w:rPr>
                    <m:t>Δ</m:t>
                  </m:r>
                  <m:sSub>
                    <m:sSubPr>
                      <m:ctrlPr>
                        <w:rPr>
                          <w:rFonts w:ascii="Cambria Math" w:hAnsi="Cambria Math"/>
                          <w:i/>
                          <w:sz w:val="20"/>
                        </w:rPr>
                      </m:ctrlPr>
                    </m:sSubPr>
                    <m:e>
                      <m:r>
                        <w:rPr>
                          <w:rFonts w:ascii="Cambria Math" w:hAnsi="Cambria Math"/>
                          <w:sz w:val="20"/>
                        </w:rPr>
                        <m:t>C</m:t>
                      </m:r>
                    </m:e>
                    <m:sub>
                      <m:r>
                        <w:rPr>
                          <w:rFonts w:ascii="Cambria Math" w:hAnsi="Cambria Math"/>
                          <w:sz w:val="20"/>
                        </w:rPr>
                        <m:t>i</m:t>
                      </m:r>
                    </m:sub>
                  </m:sSub>
                </m:num>
                <m:den>
                  <m:r>
                    <m:rPr>
                      <m:sty m:val="p"/>
                    </m:rPr>
                    <w:rPr>
                      <w:rFonts w:ascii="Cambria Math" w:hAnsi="Cambria Math"/>
                      <w:sz w:val="20"/>
                    </w:rPr>
                    <m:t>Δ</m:t>
                  </m:r>
                  <m:sSub>
                    <m:sSubPr>
                      <m:ctrlPr>
                        <w:rPr>
                          <w:rFonts w:ascii="Cambria Math" w:hAnsi="Cambria Math"/>
                          <w:i/>
                          <w:sz w:val="20"/>
                        </w:rPr>
                      </m:ctrlPr>
                    </m:sSubPr>
                    <m:e>
                      <m:r>
                        <w:rPr>
                          <w:rFonts w:ascii="Cambria Math" w:hAnsi="Cambria Math"/>
                          <w:sz w:val="20"/>
                        </w:rPr>
                        <m:t>Q</m:t>
                      </m:r>
                    </m:e>
                    <m:sub>
                      <m:r>
                        <w:rPr>
                          <w:rFonts w:ascii="Cambria Math" w:hAnsi="Cambria Math"/>
                          <w:sz w:val="20"/>
                        </w:rPr>
                        <m:t>i</m:t>
                      </m:r>
                    </m:sub>
                  </m:sSub>
                </m:den>
              </m:f>
              <m:r>
                <w:rPr>
                  <w:rFonts w:ascii="Cambria Math" w:hAnsi="Cambria Math"/>
                  <w:sz w:val="20"/>
                </w:rPr>
                <m:t>)</m:t>
              </m:r>
            </m:oMath>
          </w:p>
        </w:tc>
        <w:tc>
          <w:tcPr>
            <w:tcW w:w="3827" w:type="dxa"/>
            <w:shd w:val="clear" w:color="auto" w:fill="FFFFFF"/>
          </w:tcPr>
          <w:p>
            <w:pPr>
              <w:widowControl w:val="0"/>
              <w:jc w:val="center"/>
              <w:rPr>
                <w:rFonts w:eastAsia="STHupo"/>
                <w:color w:val="000000"/>
                <w:sz w:val="20"/>
              </w:rPr>
            </w:pPr>
            <w:r>
              <w:rPr>
                <w:rFonts w:eastAsia="STHupo"/>
                <w:b/>
                <w:bCs/>
                <w:color w:val="000000"/>
                <w:sz w:val="20"/>
              </w:rPr>
              <w:t xml:space="preserve">Pastovių ir kintamų ribinių sąnaudų, patirtų nesant įpareigojimo </w:t>
            </w:r>
            <w:r>
              <w:rPr>
                <w:rFonts w:eastAsia="STHupo"/>
                <w:b/>
                <w:bCs/>
                <w:sz w:val="20"/>
              </w:rPr>
              <w:t xml:space="preserve">užtikrinti universaliųjų elektroninių ryšių paslaugų prieinamumą ir </w:t>
            </w:r>
            <w:r>
              <w:rPr>
                <w:rFonts w:eastAsia="STHupo"/>
                <w:b/>
                <w:bCs/>
                <w:color w:val="000000"/>
                <w:sz w:val="20"/>
              </w:rPr>
              <w:t xml:space="preserve">teikti universaliąsias elektroninių ryšių paslaugas ataskaitiniu laikotarpiu, </w:t>
            </w:r>
            <w:r>
              <w:rPr>
                <w:rFonts w:eastAsia="STHupo"/>
                <w:color w:val="000000"/>
                <w:sz w:val="20"/>
              </w:rPr>
              <w:t>suma, eurais</w:t>
            </w:r>
          </w:p>
          <w:p>
            <w:pPr>
              <w:widowControl w:val="0"/>
              <w:jc w:val="center"/>
              <w:rPr>
                <w:rFonts w:eastAsia="STHupo"/>
                <w:b/>
                <w:bCs/>
                <w:color w:val="000000"/>
                <w:sz w:val="20"/>
              </w:rPr>
            </w:pPr>
            <m:oMathPara>
              <m:oMath>
                <m:r>
                  <w:rPr>
                    <w:rFonts w:ascii="Cambria Math" w:eastAsia="STHupo" w:hAnsi="Cambria Math"/>
                    <w:color w:val="000000"/>
                    <w:sz w:val="20"/>
                  </w:rPr>
                  <m:t xml:space="preserve"> </m:t>
                </m:r>
                <m:r>
                  <w:rPr>
                    <w:rFonts w:ascii="Cambria Math" w:hAnsi="Cambria Math"/>
                    <w:sz w:val="20"/>
                  </w:rPr>
                  <m:t>(</m:t>
                </m:r>
                <m:f>
                  <m:fPr>
                    <m:ctrlPr>
                      <w:rPr>
                        <w:rFonts w:ascii="Cambria Math" w:hAnsi="Cambria Math"/>
                        <w:i/>
                        <w:sz w:val="20"/>
                      </w:rPr>
                    </m:ctrlPr>
                  </m:fPr>
                  <m:num>
                    <m:r>
                      <m:rPr>
                        <m:sty m:val="p"/>
                      </m:rPr>
                      <w:rPr>
                        <w:rFonts w:ascii="Cambria Math" w:hAnsi="Cambria Math"/>
                        <w:sz w:val="20"/>
                      </w:rPr>
                      <m:t>Δ</m:t>
                    </m:r>
                    <m:sSub>
                      <m:sSubPr>
                        <m:ctrlPr>
                          <w:rPr>
                            <w:rFonts w:ascii="Cambria Math" w:hAnsi="Cambria Math"/>
                            <w:i/>
                            <w:sz w:val="20"/>
                          </w:rPr>
                        </m:ctrlPr>
                      </m:sSubPr>
                      <m:e>
                        <m:r>
                          <w:rPr>
                            <w:rFonts w:ascii="Cambria Math" w:hAnsi="Cambria Math"/>
                            <w:sz w:val="20"/>
                          </w:rPr>
                          <m:t>C</m:t>
                        </m:r>
                      </m:e>
                      <m:sub>
                        <m:sSub>
                          <m:sSubPr>
                            <m:ctrlPr>
                              <w:rPr>
                                <w:rFonts w:ascii="Cambria Math" w:hAnsi="Cambria Math"/>
                                <w:i/>
                                <w:sz w:val="20"/>
                              </w:rPr>
                            </m:ctrlPr>
                          </m:sSubPr>
                          <m:e>
                            <m:r>
                              <w:rPr>
                                <w:rFonts w:ascii="Cambria Math" w:hAnsi="Cambria Math"/>
                                <w:sz w:val="20"/>
                              </w:rPr>
                              <m:t>N</m:t>
                            </m:r>
                          </m:e>
                          <m:sub>
                            <m:r>
                              <w:rPr>
                                <w:rFonts w:ascii="Cambria Math" w:hAnsi="Cambria Math"/>
                                <w:sz w:val="20"/>
                              </w:rPr>
                              <m:t>i</m:t>
                            </m:r>
                          </m:sub>
                        </m:sSub>
                      </m:sub>
                    </m:sSub>
                  </m:num>
                  <m:den>
                    <m:r>
                      <m:rPr>
                        <m:sty m:val="p"/>
                      </m:rPr>
                      <w:rPr>
                        <w:rFonts w:ascii="Cambria Math" w:hAnsi="Cambria Math"/>
                        <w:sz w:val="20"/>
                      </w:rPr>
                      <m:t>Δ</m:t>
                    </m:r>
                    <m:sSub>
                      <m:sSubPr>
                        <m:ctrlPr>
                          <w:rPr>
                            <w:rFonts w:ascii="Cambria Math" w:hAnsi="Cambria Math"/>
                            <w:i/>
                            <w:sz w:val="20"/>
                          </w:rPr>
                        </m:ctrlPr>
                      </m:sSubPr>
                      <m:e>
                        <m:r>
                          <w:rPr>
                            <w:rFonts w:ascii="Cambria Math" w:hAnsi="Cambria Math"/>
                            <w:sz w:val="20"/>
                          </w:rPr>
                          <m:t>Q</m:t>
                        </m:r>
                      </m:e>
                      <m:sub>
                        <m:sSub>
                          <m:sSubPr>
                            <m:ctrlPr>
                              <w:rPr>
                                <w:rFonts w:ascii="Cambria Math" w:hAnsi="Cambria Math"/>
                                <w:i/>
                                <w:sz w:val="20"/>
                              </w:rPr>
                            </m:ctrlPr>
                          </m:sSubPr>
                          <m:e>
                            <m:r>
                              <w:rPr>
                                <w:rFonts w:ascii="Cambria Math" w:hAnsi="Cambria Math"/>
                                <w:sz w:val="20"/>
                              </w:rPr>
                              <m:t>N</m:t>
                            </m:r>
                          </m:e>
                          <m:sub>
                            <m:r>
                              <w:rPr>
                                <w:rFonts w:ascii="Cambria Math" w:hAnsi="Cambria Math"/>
                                <w:sz w:val="20"/>
                              </w:rPr>
                              <m:t>i</m:t>
                            </m:r>
                          </m:sub>
                        </m:sSub>
                      </m:sub>
                    </m:sSub>
                  </m:den>
                </m:f>
                <m:r>
                  <w:rPr>
                    <w:rFonts w:ascii="Cambria Math" w:hAnsi="Cambria Math"/>
                    <w:sz w:val="20"/>
                  </w:rPr>
                  <m:t>)</m:t>
                </m:r>
              </m:oMath>
            </m:oMathPara>
          </w:p>
        </w:tc>
        <w:tc>
          <w:tcPr>
            <w:tcW w:w="2977" w:type="dxa"/>
            <w:shd w:val="clear" w:color="auto" w:fill="FFFFFF"/>
          </w:tcPr>
          <w:p>
            <w:pPr>
              <w:widowControl w:val="0"/>
              <w:jc w:val="center"/>
              <w:rPr>
                <w:rFonts w:eastAsia="STHupo"/>
                <w:b/>
                <w:bCs/>
                <w:color w:val="000000"/>
                <w:sz w:val="20"/>
              </w:rPr>
            </w:pPr>
            <w:r>
              <w:rPr>
                <w:rFonts w:eastAsia="STHupo"/>
                <w:b/>
                <w:bCs/>
                <w:color w:val="000000"/>
                <w:sz w:val="20"/>
              </w:rPr>
              <w:t xml:space="preserve">Dėl įpareigojimo užtikrinti universaliųjų paslaugų prieinamumą ir jas teikti patirti nuostoliai (PN), </w:t>
            </w:r>
            <w:r>
              <w:rPr>
                <w:rFonts w:eastAsia="STHupo"/>
                <w:color w:val="000000"/>
                <w:sz w:val="20"/>
              </w:rPr>
              <w:t>iš viso, eurais</w:t>
            </w:r>
          </w:p>
          <w:p>
            <w:pPr>
              <w:widowControl w:val="0"/>
              <w:jc w:val="center"/>
              <w:rPr>
                <w:rFonts w:eastAsia="STHupo"/>
                <w:b/>
                <w:bCs/>
                <w:color w:val="000000"/>
                <w:sz w:val="20"/>
              </w:rPr>
            </w:pPr>
          </w:p>
        </w:tc>
      </w:tr>
      <w:tr>
        <w:trPr>
          <w:cantSplit/>
          <w:trHeight w:val="23"/>
        </w:trPr>
        <w:tc>
          <w:tcPr>
            <w:tcW w:w="3921" w:type="dxa"/>
            <w:shd w:val="clear" w:color="auto" w:fill="FFFFFF"/>
          </w:tcPr>
          <w:p>
            <w:pPr>
              <w:widowControl w:val="0"/>
              <w:jc w:val="center"/>
              <w:rPr>
                <w:rFonts w:eastAsia="STHupo"/>
                <w:color w:val="000000"/>
                <w:sz w:val="20"/>
              </w:rPr>
            </w:pPr>
            <w:r>
              <w:rPr>
                <w:rFonts w:eastAsia="STHupo"/>
                <w:color w:val="000000"/>
                <w:sz w:val="20"/>
              </w:rPr>
              <w:t>1</w:t>
            </w:r>
          </w:p>
        </w:tc>
        <w:tc>
          <w:tcPr>
            <w:tcW w:w="3544" w:type="dxa"/>
            <w:shd w:val="clear" w:color="auto" w:fill="FFFFFF"/>
          </w:tcPr>
          <w:p>
            <w:pPr>
              <w:widowControl w:val="0"/>
              <w:jc w:val="center"/>
              <w:rPr>
                <w:rFonts w:eastAsia="STHupo"/>
                <w:color w:val="000000"/>
                <w:sz w:val="20"/>
              </w:rPr>
            </w:pPr>
            <w:r>
              <w:rPr>
                <w:rFonts w:eastAsia="STHupo"/>
                <w:color w:val="000000"/>
                <w:sz w:val="20"/>
              </w:rPr>
              <w:t>2</w:t>
            </w:r>
          </w:p>
        </w:tc>
        <w:tc>
          <w:tcPr>
            <w:tcW w:w="3827" w:type="dxa"/>
            <w:shd w:val="clear" w:color="auto" w:fill="FFFFFF"/>
          </w:tcPr>
          <w:p>
            <w:pPr>
              <w:widowControl w:val="0"/>
              <w:jc w:val="center"/>
              <w:rPr>
                <w:rFonts w:eastAsia="STHupo"/>
                <w:color w:val="000000"/>
                <w:sz w:val="20"/>
              </w:rPr>
            </w:pPr>
            <w:r>
              <w:rPr>
                <w:rFonts w:eastAsia="STHupo"/>
                <w:color w:val="000000"/>
                <w:sz w:val="20"/>
              </w:rPr>
              <w:t>3</w:t>
            </w:r>
          </w:p>
        </w:tc>
        <w:tc>
          <w:tcPr>
            <w:tcW w:w="2977" w:type="dxa"/>
            <w:shd w:val="clear" w:color="auto" w:fill="FFFFFF"/>
          </w:tcPr>
          <w:p>
            <w:pPr>
              <w:widowControl w:val="0"/>
              <w:jc w:val="center"/>
              <w:rPr>
                <w:rFonts w:eastAsia="STHupo"/>
                <w:color w:val="000000"/>
                <w:sz w:val="20"/>
              </w:rPr>
            </w:pPr>
            <w:r>
              <w:rPr>
                <w:rFonts w:eastAsia="STHupo"/>
                <w:color w:val="000000"/>
                <w:sz w:val="20"/>
              </w:rPr>
              <w:t>4=2-3</w:t>
            </w:r>
          </w:p>
        </w:tc>
      </w:tr>
      <w:tr>
        <w:trPr>
          <w:cantSplit/>
          <w:trHeight w:val="23"/>
        </w:trPr>
        <w:tc>
          <w:tcPr>
            <w:tcW w:w="3921" w:type="dxa"/>
            <w:shd w:val="clear" w:color="auto" w:fill="FFFFFF"/>
          </w:tcPr>
          <w:p>
            <w:pPr>
              <w:widowControl w:val="0"/>
              <w:jc w:val="both"/>
              <w:rPr>
                <w:rFonts w:eastAsia="STHupo"/>
                <w:color w:val="000000"/>
                <w:sz w:val="20"/>
              </w:rPr>
            </w:pPr>
            <w:r>
              <w:rPr>
                <w:rFonts w:eastAsia="STHupo"/>
                <w:color w:val="000000"/>
                <w:sz w:val="20"/>
              </w:rPr>
              <w:t>Kalbinio ryšio paslaugos, teikiamos fiksuotoje vietoje</w:t>
            </w:r>
          </w:p>
        </w:tc>
        <w:tc>
          <w:tcPr>
            <w:tcW w:w="3544" w:type="dxa"/>
            <w:shd w:val="clear" w:color="auto" w:fill="FFFFFF"/>
          </w:tcPr>
          <w:p>
            <w:pPr>
              <w:widowControl w:val="0"/>
              <w:jc w:val="both"/>
              <w:rPr>
                <w:rFonts w:eastAsia="STHupo"/>
                <w:color w:val="000000"/>
                <w:sz w:val="20"/>
              </w:rPr>
            </w:pPr>
          </w:p>
        </w:tc>
        <w:tc>
          <w:tcPr>
            <w:tcW w:w="3827" w:type="dxa"/>
            <w:shd w:val="clear" w:color="auto" w:fill="FFFFFF"/>
          </w:tcPr>
          <w:p>
            <w:pPr>
              <w:widowControl w:val="0"/>
              <w:jc w:val="both"/>
              <w:rPr>
                <w:rFonts w:eastAsia="STHupo"/>
                <w:color w:val="000000"/>
                <w:sz w:val="20"/>
              </w:rPr>
            </w:pPr>
          </w:p>
        </w:tc>
        <w:tc>
          <w:tcPr>
            <w:tcW w:w="2977" w:type="dxa"/>
            <w:shd w:val="clear" w:color="auto" w:fill="FFFFFF"/>
          </w:tcPr>
          <w:p>
            <w:pPr>
              <w:widowControl w:val="0"/>
              <w:jc w:val="both"/>
              <w:rPr>
                <w:rFonts w:eastAsia="STHupo"/>
                <w:color w:val="000000"/>
                <w:sz w:val="20"/>
              </w:rPr>
            </w:pPr>
          </w:p>
        </w:tc>
      </w:tr>
      <w:tr>
        <w:trPr>
          <w:cantSplit/>
          <w:trHeight w:val="23"/>
        </w:trPr>
        <w:tc>
          <w:tcPr>
            <w:tcW w:w="3921" w:type="dxa"/>
            <w:shd w:val="clear" w:color="auto" w:fill="FFFFFF"/>
          </w:tcPr>
          <w:p>
            <w:pPr>
              <w:widowControl w:val="0"/>
              <w:jc w:val="both"/>
              <w:rPr>
                <w:rFonts w:eastAsia="STHupo"/>
                <w:color w:val="000000"/>
                <w:sz w:val="20"/>
              </w:rPr>
            </w:pPr>
            <w:r>
              <w:rPr>
                <w:rFonts w:eastAsia="STHupo"/>
                <w:color w:val="000000"/>
                <w:sz w:val="20"/>
              </w:rPr>
              <w:t>Pakankamos plačiajuostės interneto prieigos paslaugos, teikiamos fiksuotoje vietoje</w:t>
            </w:r>
          </w:p>
        </w:tc>
        <w:tc>
          <w:tcPr>
            <w:tcW w:w="3544" w:type="dxa"/>
            <w:shd w:val="clear" w:color="auto" w:fill="FFFFFF"/>
          </w:tcPr>
          <w:p>
            <w:pPr>
              <w:widowControl w:val="0"/>
              <w:jc w:val="both"/>
              <w:rPr>
                <w:rFonts w:eastAsia="STHupo"/>
                <w:color w:val="000000"/>
                <w:sz w:val="20"/>
              </w:rPr>
            </w:pPr>
          </w:p>
        </w:tc>
        <w:tc>
          <w:tcPr>
            <w:tcW w:w="3827" w:type="dxa"/>
            <w:shd w:val="clear" w:color="auto" w:fill="FFFFFF"/>
          </w:tcPr>
          <w:p>
            <w:pPr>
              <w:widowControl w:val="0"/>
              <w:jc w:val="both"/>
              <w:rPr>
                <w:rFonts w:eastAsia="STHupo"/>
                <w:color w:val="000000"/>
                <w:sz w:val="20"/>
              </w:rPr>
            </w:pPr>
          </w:p>
        </w:tc>
        <w:tc>
          <w:tcPr>
            <w:tcW w:w="2977" w:type="dxa"/>
            <w:shd w:val="clear" w:color="auto" w:fill="FFFFFF"/>
          </w:tcPr>
          <w:p>
            <w:pPr>
              <w:widowControl w:val="0"/>
              <w:jc w:val="both"/>
              <w:rPr>
                <w:rFonts w:eastAsia="STHupo"/>
                <w:color w:val="000000"/>
                <w:sz w:val="20"/>
              </w:rPr>
            </w:pPr>
          </w:p>
        </w:tc>
      </w:tr>
      <w:tr>
        <w:trPr>
          <w:cantSplit/>
          <w:trHeight w:val="23"/>
        </w:trPr>
        <w:tc>
          <w:tcPr>
            <w:tcW w:w="3921" w:type="dxa"/>
            <w:shd w:val="clear" w:color="auto" w:fill="FFFFFF"/>
          </w:tcPr>
          <w:p>
            <w:pPr>
              <w:widowControl w:val="0"/>
              <w:rPr>
                <w:rFonts w:eastAsia="STHupo"/>
                <w:color w:val="000000"/>
                <w:sz w:val="20"/>
              </w:rPr>
            </w:pPr>
            <w:r>
              <w:rPr>
                <w:rFonts w:eastAsia="STHupo"/>
                <w:b/>
                <w:bCs/>
                <w:color w:val="000000"/>
                <w:sz w:val="20"/>
              </w:rPr>
              <w:t>Iš viso:</w:t>
            </w:r>
          </w:p>
        </w:tc>
        <w:tc>
          <w:tcPr>
            <w:tcW w:w="3544" w:type="dxa"/>
            <w:shd w:val="clear" w:color="auto" w:fill="FFFFFF"/>
          </w:tcPr>
          <w:p>
            <w:pPr>
              <w:widowControl w:val="0"/>
              <w:jc w:val="both"/>
              <w:rPr>
                <w:rFonts w:eastAsia="STHupo"/>
                <w:color w:val="000000"/>
                <w:sz w:val="20"/>
              </w:rPr>
            </w:pPr>
          </w:p>
        </w:tc>
        <w:tc>
          <w:tcPr>
            <w:tcW w:w="3827" w:type="dxa"/>
            <w:shd w:val="clear" w:color="auto" w:fill="FFFFFF"/>
          </w:tcPr>
          <w:p>
            <w:pPr>
              <w:widowControl w:val="0"/>
              <w:jc w:val="both"/>
              <w:rPr>
                <w:rFonts w:eastAsia="STHupo"/>
                <w:color w:val="000000"/>
                <w:sz w:val="20"/>
              </w:rPr>
            </w:pPr>
          </w:p>
        </w:tc>
        <w:tc>
          <w:tcPr>
            <w:tcW w:w="2977" w:type="dxa"/>
            <w:shd w:val="clear" w:color="auto" w:fill="FFFFFF"/>
          </w:tcPr>
          <w:p>
            <w:pPr>
              <w:widowControl w:val="0"/>
              <w:jc w:val="both"/>
              <w:rPr>
                <w:rFonts w:eastAsia="STHupo"/>
                <w:color w:val="000000"/>
                <w:sz w:val="20"/>
              </w:rPr>
            </w:pPr>
          </w:p>
        </w:tc>
      </w:tr>
    </w:tbl>
    <w:p>
      <w:pPr>
        <w:widowControl w:val="0"/>
        <w:rPr>
          <w:color w:val="000000"/>
          <w:szCs w:val="24"/>
        </w:rPr>
      </w:pPr>
    </w:p>
    <w:p>
      <w:pPr>
        <w:rPr>
          <w:sz w:val="20"/>
        </w:rPr>
      </w:pPr>
      <w:r>
        <w:rPr>
          <w:sz w:val="20"/>
        </w:rPr>
        <w:t>* be nematerialios naudos skaičiavimo</w:t>
      </w:r>
    </w:p>
    <w:p>
      <w:pPr>
        <w:ind w:firstLine="6663"/>
        <w:rPr>
          <w:sz w:val="20"/>
        </w:rPr>
      </w:pPr>
      <w:r>
        <w:rPr>
          <w:sz w:val="20"/>
        </w:rPr>
        <w:t>____________________</w:t>
      </w:r>
    </w:p>
    <w:p/>
    <w:p>
      <w:pPr>
        <w:widowControl w:val="0"/>
        <w:ind w:firstLine="7938"/>
        <w:sectPr>
          <w:pgSz w:w="16838" w:h="11906" w:orient="landscape"/>
          <w:pgMar w:top="1701" w:right="1134" w:bottom="567" w:left="1134" w:header="709" w:footer="709" w:gutter="0"/>
          <w:cols w:space="708"/>
          <w:titlePg/>
          <w:docGrid w:linePitch="360"/>
        </w:sectPr>
      </w:pPr>
    </w:p>
    <w:p>
      <w:pPr>
        <w:widowControl w:val="0"/>
        <w:ind w:firstLine="11057"/>
        <w:rPr>
          <w:color w:val="000000"/>
          <w:szCs w:val="24"/>
        </w:rPr>
      </w:pPr>
      <w:r>
        <w:rPr>
          <w:color w:val="000000"/>
          <w:szCs w:val="24"/>
        </w:rPr>
        <w:t xml:space="preserve">Universaliųjų elektroninių ryšių </w:t>
      </w:r>
    </w:p>
    <w:p>
      <w:pPr>
        <w:widowControl w:val="0"/>
        <w:ind w:firstLine="11057"/>
        <w:rPr>
          <w:color w:val="000000"/>
          <w:szCs w:val="24"/>
        </w:rPr>
      </w:pPr>
      <w:r>
        <w:rPr>
          <w:color w:val="000000"/>
          <w:szCs w:val="24"/>
        </w:rPr>
        <w:t xml:space="preserve">paslaugų teikimo nuostolių </w:t>
      </w:r>
    </w:p>
    <w:p>
      <w:pPr>
        <w:widowControl w:val="0"/>
        <w:ind w:firstLine="11057"/>
        <w:rPr>
          <w:color w:val="000000"/>
          <w:szCs w:val="24"/>
        </w:rPr>
      </w:pPr>
      <w:r>
        <w:rPr>
          <w:color w:val="000000"/>
          <w:szCs w:val="24"/>
        </w:rPr>
        <w:t>apskaičiavimo taisyklių</w:t>
      </w:r>
    </w:p>
    <w:p>
      <w:pPr>
        <w:ind w:firstLine="11057"/>
        <w:rPr>
          <w:color w:val="000000"/>
          <w:szCs w:val="24"/>
        </w:rPr>
      </w:pPr>
      <w:r>
        <w:rPr>
          <w:color w:val="000000"/>
          <w:szCs w:val="24"/>
        </w:rPr>
        <w:t>2</w:t>
      </w:r>
      <w:r>
        <w:rPr>
          <w:color w:val="000000"/>
          <w:szCs w:val="24"/>
        </w:rPr>
        <w:t xml:space="preserve"> priedas</w:t>
      </w:r>
    </w:p>
    <w:p>
      <w:pPr>
        <w:ind w:firstLine="6379"/>
        <w:rPr>
          <w:color w:val="000000"/>
          <w:szCs w:val="24"/>
        </w:rPr>
      </w:pPr>
    </w:p>
    <w:p>
      <w:pPr>
        <w:ind w:firstLine="6379"/>
        <w:rPr>
          <w:color w:val="000000"/>
          <w:szCs w:val="24"/>
        </w:rPr>
      </w:pPr>
    </w:p>
    <w:p>
      <w:pPr>
        <w:jc w:val="center"/>
        <w:rPr>
          <w:rFonts w:eastAsia="STHupo"/>
          <w:b/>
          <w:bCs/>
          <w:szCs w:val="24"/>
        </w:rPr>
      </w:pPr>
      <w:r>
        <w:rPr>
          <w:rFonts w:eastAsia="STHupo"/>
          <w:b/>
          <w:bCs/>
          <w:szCs w:val="24"/>
        </w:rPr>
        <w:t>DĖL ĮPAREIGOJIMO TEIKTI ĮPERKAMAS UNIVERSALIĄSIAS PASLAUGAS PATIRTŲ NUOSTOLIŲ APSKAIČIAVIMO ATASKAITA*</w:t>
      </w:r>
    </w:p>
    <w:p>
      <w:pPr>
        <w:jc w:val="center"/>
        <w:rPr>
          <w:rFonts w:eastAsia="STHupo"/>
          <w:b/>
          <w:bCs/>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3355"/>
        <w:gridCol w:w="3261"/>
        <w:gridCol w:w="2976"/>
      </w:tblGrid>
      <w:tr>
        <w:trPr>
          <w:trHeight w:val="621"/>
        </w:trPr>
        <w:tc>
          <w:tcPr>
            <w:tcW w:w="4578" w:type="dxa"/>
          </w:tcPr>
          <w:p>
            <w:pPr>
              <w:jc w:val="center"/>
              <w:rPr>
                <w:rFonts w:eastAsia="STHupo"/>
                <w:b/>
                <w:bCs/>
                <w:sz w:val="20"/>
              </w:rPr>
            </w:pPr>
            <w:r>
              <w:rPr>
                <w:rFonts w:eastAsia="STHupo"/>
                <w:b/>
                <w:bCs/>
                <w:color w:val="000000"/>
                <w:sz w:val="20"/>
              </w:rPr>
              <w:t>Įperkamos universaliosios elektroninių ryšių paslaugos nepasiturintiems gyventojams, kurie turi teisę gauti arba gauna piniginę socialinę paramą pagal Lietuvos Respublikos piniginės socialinės paramos nepasiturintiems gyventojams įstatymą, ar socialinių paslaugų gavėjams, kurie gauna socialines paslaugas Lietuvos Respublikos socialinių paslaugų įstatymo nustatyta tvarka ir sąlygomis (toliau – įperkamos universaliosios paslaugos)</w:t>
            </w:r>
          </w:p>
        </w:tc>
        <w:tc>
          <w:tcPr>
            <w:tcW w:w="3355" w:type="dxa"/>
          </w:tcPr>
          <w:p>
            <w:pPr>
              <w:jc w:val="center"/>
              <w:rPr>
                <w:rFonts w:eastAsia="STHupo"/>
                <w:b/>
                <w:bCs/>
                <w:sz w:val="20"/>
              </w:rPr>
            </w:pPr>
            <w:r>
              <w:rPr>
                <w:rFonts w:eastAsia="STHupo"/>
                <w:b/>
                <w:bCs/>
                <w:color w:val="000000"/>
                <w:sz w:val="20"/>
              </w:rPr>
              <w:t xml:space="preserve">Pajamos, gautos teikiant konkrečią įperkamą universaliąją paslaugą, </w:t>
            </w:r>
            <w:r>
              <w:rPr>
                <w:rFonts w:eastAsia="STHupo"/>
                <w:color w:val="000000"/>
                <w:sz w:val="20"/>
              </w:rPr>
              <w:t>iš viso, eurais (P</w:t>
            </w:r>
            <w:r>
              <w:rPr>
                <w:rFonts w:eastAsia="STHupo"/>
                <w:color w:val="000000"/>
                <w:sz w:val="20"/>
                <w:vertAlign w:val="subscript"/>
              </w:rPr>
              <w:t>i</w:t>
            </w:r>
            <w:r>
              <w:rPr>
                <w:rFonts w:eastAsia="STHupo"/>
                <w:color w:val="000000"/>
                <w:sz w:val="20"/>
              </w:rPr>
              <w:t>)</w:t>
            </w:r>
          </w:p>
        </w:tc>
        <w:tc>
          <w:tcPr>
            <w:tcW w:w="3261" w:type="dxa"/>
          </w:tcPr>
          <w:p>
            <w:pPr>
              <w:jc w:val="center"/>
              <w:rPr>
                <w:rFonts w:eastAsia="STHupo"/>
                <w:b/>
                <w:bCs/>
                <w:sz w:val="20"/>
              </w:rPr>
            </w:pPr>
            <w:r>
              <w:rPr>
                <w:rFonts w:eastAsia="STHupo"/>
                <w:b/>
                <w:bCs/>
                <w:color w:val="000000"/>
                <w:sz w:val="20"/>
              </w:rPr>
              <w:t xml:space="preserve">Sąnaudos, patirtos teikiant konkrečią įperkamą universaliąją paslaugą, </w:t>
            </w:r>
            <w:r>
              <w:rPr>
                <w:rFonts w:eastAsia="STHupo"/>
                <w:color w:val="000000"/>
                <w:sz w:val="20"/>
              </w:rPr>
              <w:t>iš viso, eurais (S</w:t>
            </w:r>
            <w:r>
              <w:rPr>
                <w:rFonts w:eastAsia="STHupo"/>
                <w:color w:val="000000"/>
                <w:sz w:val="20"/>
                <w:vertAlign w:val="subscript"/>
              </w:rPr>
              <w:t>i</w:t>
            </w:r>
            <w:r>
              <w:rPr>
                <w:rFonts w:eastAsia="STHupo"/>
                <w:color w:val="000000"/>
                <w:sz w:val="20"/>
              </w:rPr>
              <w:t>)</w:t>
            </w:r>
          </w:p>
        </w:tc>
        <w:tc>
          <w:tcPr>
            <w:tcW w:w="2976" w:type="dxa"/>
          </w:tcPr>
          <w:p>
            <w:pPr>
              <w:jc w:val="center"/>
              <w:rPr>
                <w:rFonts w:eastAsia="STHupo"/>
                <w:color w:val="000000"/>
                <w:sz w:val="20"/>
              </w:rPr>
            </w:pPr>
            <w:r>
              <w:rPr>
                <w:rFonts w:eastAsia="STHupo"/>
                <w:b/>
                <w:bCs/>
                <w:color w:val="000000"/>
                <w:sz w:val="20"/>
              </w:rPr>
              <w:t xml:space="preserve">Dėl įpareigojimo teikti įperkamas universaliąsias paslaugas patirti nuostoliai (ĮN), </w:t>
            </w:r>
            <w:r>
              <w:rPr>
                <w:rFonts w:eastAsia="STHupo"/>
                <w:color w:val="000000"/>
                <w:sz w:val="20"/>
              </w:rPr>
              <w:t>iš viso, eurais</w:t>
            </w:r>
          </w:p>
          <w:p>
            <w:pPr>
              <w:jc w:val="center"/>
              <w:rPr>
                <w:rFonts w:eastAsia="STHupo"/>
                <w:b/>
                <w:bCs/>
                <w:sz w:val="20"/>
              </w:rPr>
            </w:pPr>
          </w:p>
        </w:tc>
      </w:tr>
      <w:tr>
        <w:trPr>
          <w:trHeight w:val="206"/>
        </w:trPr>
        <w:tc>
          <w:tcPr>
            <w:tcW w:w="4578" w:type="dxa"/>
          </w:tcPr>
          <w:p>
            <w:pPr>
              <w:jc w:val="center"/>
              <w:rPr>
                <w:rFonts w:eastAsia="STHupo"/>
                <w:sz w:val="20"/>
              </w:rPr>
            </w:pPr>
            <w:r>
              <w:rPr>
                <w:rFonts w:eastAsia="STHupo"/>
                <w:sz w:val="20"/>
              </w:rPr>
              <w:t>1</w:t>
            </w:r>
          </w:p>
        </w:tc>
        <w:tc>
          <w:tcPr>
            <w:tcW w:w="3355" w:type="dxa"/>
          </w:tcPr>
          <w:p>
            <w:pPr>
              <w:jc w:val="center"/>
              <w:rPr>
                <w:rFonts w:eastAsia="STHupo"/>
                <w:sz w:val="20"/>
              </w:rPr>
            </w:pPr>
            <w:r>
              <w:rPr>
                <w:rFonts w:eastAsia="STHupo"/>
                <w:sz w:val="20"/>
              </w:rPr>
              <w:t>2</w:t>
            </w:r>
          </w:p>
        </w:tc>
        <w:tc>
          <w:tcPr>
            <w:tcW w:w="3261" w:type="dxa"/>
          </w:tcPr>
          <w:p>
            <w:pPr>
              <w:jc w:val="center"/>
              <w:rPr>
                <w:rFonts w:eastAsia="STHupo"/>
                <w:sz w:val="20"/>
              </w:rPr>
            </w:pPr>
            <w:r>
              <w:rPr>
                <w:rFonts w:eastAsia="STHupo"/>
                <w:sz w:val="20"/>
              </w:rPr>
              <w:t>3</w:t>
            </w:r>
          </w:p>
        </w:tc>
        <w:tc>
          <w:tcPr>
            <w:tcW w:w="2976" w:type="dxa"/>
          </w:tcPr>
          <w:p>
            <w:pPr>
              <w:tabs>
                <w:tab w:val="center" w:pos="3507"/>
                <w:tab w:val="left" w:pos="5787"/>
              </w:tabs>
              <w:jc w:val="center"/>
              <w:rPr>
                <w:rFonts w:eastAsia="STHupo"/>
                <w:sz w:val="20"/>
              </w:rPr>
            </w:pPr>
            <w:r>
              <w:rPr>
                <w:rFonts w:eastAsia="STHupo"/>
                <w:color w:val="000000"/>
                <w:sz w:val="20"/>
              </w:rPr>
              <w:t>4 = 2-3</w:t>
            </w:r>
          </w:p>
        </w:tc>
      </w:tr>
      <w:tr>
        <w:trPr>
          <w:trHeight w:val="521"/>
        </w:trPr>
        <w:tc>
          <w:tcPr>
            <w:tcW w:w="4578" w:type="dxa"/>
          </w:tcPr>
          <w:p>
            <w:pPr>
              <w:rPr>
                <w:rFonts w:eastAsia="STHupo"/>
                <w:sz w:val="20"/>
              </w:rPr>
            </w:pPr>
            <w:r>
              <w:rPr>
                <w:rFonts w:eastAsia="STHupo"/>
                <w:sz w:val="20"/>
              </w:rPr>
              <w:t>Kalbinio ryšio paslaugos, teikiamos fiksuotoje vietoje</w:t>
            </w:r>
          </w:p>
        </w:tc>
        <w:tc>
          <w:tcPr>
            <w:tcW w:w="3355" w:type="dxa"/>
          </w:tcPr>
          <w:p>
            <w:pPr>
              <w:rPr>
                <w:rFonts w:eastAsia="STHupo"/>
                <w:sz w:val="20"/>
              </w:rPr>
            </w:pPr>
          </w:p>
        </w:tc>
        <w:tc>
          <w:tcPr>
            <w:tcW w:w="3261" w:type="dxa"/>
          </w:tcPr>
          <w:p>
            <w:pPr>
              <w:rPr>
                <w:rFonts w:eastAsia="STHupo"/>
                <w:sz w:val="20"/>
              </w:rPr>
            </w:pPr>
          </w:p>
        </w:tc>
        <w:tc>
          <w:tcPr>
            <w:tcW w:w="2976" w:type="dxa"/>
          </w:tcPr>
          <w:p>
            <w:pPr>
              <w:rPr>
                <w:rFonts w:eastAsia="STHupo"/>
                <w:sz w:val="20"/>
              </w:rPr>
            </w:pPr>
          </w:p>
        </w:tc>
      </w:tr>
      <w:tr>
        <w:trPr>
          <w:trHeight w:val="652"/>
        </w:trPr>
        <w:tc>
          <w:tcPr>
            <w:tcW w:w="4578" w:type="dxa"/>
          </w:tcPr>
          <w:p>
            <w:pPr>
              <w:jc w:val="both"/>
              <w:rPr>
                <w:rFonts w:eastAsia="STHupo"/>
                <w:sz w:val="20"/>
              </w:rPr>
            </w:pPr>
            <w:r>
              <w:rPr>
                <w:rFonts w:eastAsia="STHupo"/>
                <w:sz w:val="20"/>
              </w:rPr>
              <w:t>Pakankamos plačiajuostės interneto prieigos paslaugos, teikiamos fiksuotoje vietoje</w:t>
            </w:r>
          </w:p>
        </w:tc>
        <w:tc>
          <w:tcPr>
            <w:tcW w:w="3355" w:type="dxa"/>
          </w:tcPr>
          <w:p>
            <w:pPr>
              <w:rPr>
                <w:rFonts w:eastAsia="STHupo"/>
                <w:sz w:val="20"/>
              </w:rPr>
            </w:pPr>
          </w:p>
        </w:tc>
        <w:tc>
          <w:tcPr>
            <w:tcW w:w="3261" w:type="dxa"/>
          </w:tcPr>
          <w:p>
            <w:pPr>
              <w:rPr>
                <w:rFonts w:eastAsia="STHupo"/>
                <w:sz w:val="20"/>
              </w:rPr>
            </w:pPr>
          </w:p>
        </w:tc>
        <w:tc>
          <w:tcPr>
            <w:tcW w:w="2976" w:type="dxa"/>
          </w:tcPr>
          <w:p>
            <w:pPr>
              <w:rPr>
                <w:rFonts w:eastAsia="STHupo"/>
                <w:sz w:val="20"/>
              </w:rPr>
            </w:pPr>
          </w:p>
        </w:tc>
      </w:tr>
      <w:tr>
        <w:trPr>
          <w:trHeight w:val="309"/>
        </w:trPr>
        <w:tc>
          <w:tcPr>
            <w:tcW w:w="4578" w:type="dxa"/>
          </w:tcPr>
          <w:p>
            <w:pPr>
              <w:rPr>
                <w:rFonts w:eastAsia="STHupo"/>
                <w:b/>
                <w:bCs/>
                <w:sz w:val="20"/>
              </w:rPr>
            </w:pPr>
            <w:r>
              <w:rPr>
                <w:rFonts w:eastAsia="STHupo"/>
                <w:b/>
                <w:bCs/>
                <w:sz w:val="20"/>
              </w:rPr>
              <w:t>Iš viso:</w:t>
            </w:r>
          </w:p>
        </w:tc>
        <w:tc>
          <w:tcPr>
            <w:tcW w:w="3355" w:type="dxa"/>
          </w:tcPr>
          <w:p>
            <w:pPr>
              <w:rPr>
                <w:rFonts w:eastAsia="STHupo"/>
                <w:sz w:val="20"/>
              </w:rPr>
            </w:pPr>
          </w:p>
        </w:tc>
        <w:tc>
          <w:tcPr>
            <w:tcW w:w="3261" w:type="dxa"/>
          </w:tcPr>
          <w:p>
            <w:pPr>
              <w:rPr>
                <w:rFonts w:eastAsia="STHupo"/>
                <w:sz w:val="20"/>
              </w:rPr>
            </w:pPr>
          </w:p>
        </w:tc>
        <w:tc>
          <w:tcPr>
            <w:tcW w:w="2976" w:type="dxa"/>
          </w:tcPr>
          <w:p>
            <w:pPr>
              <w:rPr>
                <w:rFonts w:eastAsia="STHupo"/>
                <w:sz w:val="20"/>
              </w:rPr>
            </w:pPr>
          </w:p>
        </w:tc>
      </w:tr>
    </w:tbl>
    <w:p>
      <w:pPr>
        <w:rPr>
          <w:color w:val="000000"/>
          <w:szCs w:val="24"/>
        </w:rPr>
      </w:pPr>
    </w:p>
    <w:p>
      <w:pPr>
        <w:rPr>
          <w:sz w:val="20"/>
        </w:rPr>
      </w:pPr>
      <w:r>
        <w:rPr>
          <w:sz w:val="20"/>
        </w:rPr>
        <w:t>* be nematerialios naudos skaičiavimo</w:t>
      </w:r>
    </w:p>
    <w:p>
      <w:pPr>
        <w:ind w:firstLine="5670"/>
        <w:rPr>
          <w:sz w:val="20"/>
        </w:rPr>
      </w:pPr>
      <w:r>
        <w:rPr>
          <w:sz w:val="20"/>
        </w:rPr>
        <w:t>_____________________</w:t>
      </w:r>
    </w:p>
    <w:p>
      <w:pPr>
        <w:ind w:firstLine="5670"/>
      </w:pPr>
    </w:p>
    <w:p>
      <w:pPr>
        <w:widowControl w:val="0"/>
        <w:ind w:firstLine="6379"/>
        <w:sectPr>
          <w:headerReference w:type="even" r:id="rId39"/>
          <w:headerReference w:type="default" r:id="rId40"/>
          <w:footerReference w:type="even" r:id="rId41"/>
          <w:footerReference w:type="default" r:id="rId42"/>
          <w:headerReference w:type="first" r:id="rId43"/>
          <w:footerReference w:type="first" r:id="rId44"/>
          <w:pgSz w:w="16838" w:h="11906" w:orient="landscape"/>
          <w:pgMar w:top="1701" w:right="1134" w:bottom="567" w:left="1134" w:header="567" w:footer="567" w:gutter="0"/>
          <w:pgNumType w:start="1"/>
          <w:cols w:space="1296"/>
          <w:titlePg/>
          <w:docGrid w:linePitch="360"/>
        </w:sectPr>
      </w:pPr>
    </w:p>
    <w:p>
      <w:pPr>
        <w:widowControl w:val="0"/>
        <w:ind w:firstLine="4479"/>
        <w:rPr>
          <w:color w:val="000000"/>
          <w:szCs w:val="24"/>
        </w:rPr>
      </w:pPr>
      <w:r>
        <w:rPr>
          <w:color w:val="000000"/>
          <w:szCs w:val="24"/>
        </w:rPr>
        <w:t xml:space="preserve">Universaliųjų elektroninių ryšių </w:t>
      </w:r>
    </w:p>
    <w:p>
      <w:pPr>
        <w:widowControl w:val="0"/>
        <w:ind w:firstLine="4479"/>
        <w:rPr>
          <w:color w:val="000000"/>
          <w:szCs w:val="24"/>
        </w:rPr>
      </w:pPr>
      <w:r>
        <w:rPr>
          <w:color w:val="000000"/>
          <w:szCs w:val="24"/>
        </w:rPr>
        <w:t xml:space="preserve">paslaugų teikimo nuostolių </w:t>
      </w:r>
    </w:p>
    <w:p>
      <w:pPr>
        <w:widowControl w:val="0"/>
        <w:ind w:firstLine="4479"/>
        <w:rPr>
          <w:color w:val="000000"/>
          <w:szCs w:val="24"/>
        </w:rPr>
      </w:pPr>
      <w:r>
        <w:rPr>
          <w:color w:val="000000"/>
          <w:szCs w:val="24"/>
        </w:rPr>
        <w:t>apskaičiavimo taisyklių</w:t>
      </w:r>
    </w:p>
    <w:p>
      <w:pPr>
        <w:ind w:firstLine="4479"/>
        <w:rPr>
          <w:color w:val="000000"/>
          <w:szCs w:val="24"/>
        </w:rPr>
      </w:pPr>
      <w:r>
        <w:rPr>
          <w:color w:val="000000"/>
          <w:szCs w:val="24"/>
        </w:rPr>
        <w:t>3</w:t>
      </w:r>
      <w:r>
        <w:rPr>
          <w:color w:val="000000"/>
          <w:szCs w:val="24"/>
        </w:rPr>
        <w:t xml:space="preserve"> priedas</w:t>
      </w:r>
    </w:p>
    <w:p>
      <w:pPr>
        <w:ind w:firstLine="6379"/>
        <w:rPr>
          <w:color w:val="000000"/>
          <w:szCs w:val="24"/>
        </w:rPr>
      </w:pPr>
    </w:p>
    <w:p>
      <w:pPr>
        <w:ind w:firstLine="6379"/>
        <w:rPr>
          <w:color w:val="000000"/>
          <w:szCs w:val="24"/>
        </w:rPr>
      </w:pPr>
    </w:p>
    <w:p>
      <w:pPr>
        <w:jc w:val="center"/>
        <w:rPr>
          <w:b/>
          <w:bCs/>
          <w:color w:val="000000"/>
          <w:szCs w:val="24"/>
        </w:rPr>
      </w:pPr>
      <w:r>
        <w:rPr>
          <w:b/>
          <w:bCs/>
          <w:color w:val="000000"/>
          <w:szCs w:val="24"/>
        </w:rPr>
        <w:t>NEMATERIALIOS NAUDOS ĮVERTINIMO ATASKAITA</w:t>
      </w:r>
    </w:p>
    <w:p>
      <w:pPr>
        <w:jc w:val="center"/>
        <w:rPr>
          <w:color w:val="000000"/>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19"/>
        <w:gridCol w:w="4820"/>
      </w:tblGrid>
      <w:tr>
        <w:trPr>
          <w:cantSplit/>
          <w:trHeight w:val="23"/>
          <w:jc w:val="center"/>
        </w:trPr>
        <w:tc>
          <w:tcPr>
            <w:tcW w:w="4819" w:type="dxa"/>
            <w:shd w:val="clear" w:color="auto" w:fill="FFFFFF"/>
          </w:tcPr>
          <w:p>
            <w:pPr>
              <w:widowControl w:val="0"/>
              <w:jc w:val="both"/>
              <w:rPr>
                <w:color w:val="000000"/>
                <w:sz w:val="22"/>
                <w:szCs w:val="22"/>
              </w:rPr>
            </w:pPr>
            <w:r>
              <w:rPr>
                <w:b/>
                <w:bCs/>
                <w:color w:val="000000"/>
                <w:sz w:val="22"/>
                <w:szCs w:val="22"/>
              </w:rPr>
              <w:t>Nematerialios naudos rūšis</w:t>
            </w:r>
          </w:p>
        </w:tc>
        <w:tc>
          <w:tcPr>
            <w:tcW w:w="4820" w:type="dxa"/>
            <w:shd w:val="clear" w:color="auto" w:fill="FFFFFF"/>
          </w:tcPr>
          <w:p>
            <w:pPr>
              <w:widowControl w:val="0"/>
              <w:jc w:val="both"/>
              <w:rPr>
                <w:color w:val="000000"/>
                <w:sz w:val="22"/>
                <w:szCs w:val="22"/>
              </w:rPr>
            </w:pPr>
            <w:r>
              <w:rPr>
                <w:b/>
                <w:bCs/>
                <w:color w:val="000000"/>
                <w:sz w:val="22"/>
                <w:szCs w:val="22"/>
              </w:rPr>
              <w:t>Nematerialios naudos vertė, eurais</w:t>
            </w:r>
          </w:p>
        </w:tc>
      </w:tr>
      <w:tr>
        <w:trPr>
          <w:cantSplit/>
          <w:trHeight w:val="23"/>
          <w:jc w:val="center"/>
        </w:trPr>
        <w:tc>
          <w:tcPr>
            <w:tcW w:w="4819" w:type="dxa"/>
            <w:shd w:val="clear" w:color="auto" w:fill="FFFFFF"/>
          </w:tcPr>
          <w:p>
            <w:pPr>
              <w:widowControl w:val="0"/>
              <w:jc w:val="both"/>
              <w:rPr>
                <w:color w:val="000000"/>
                <w:sz w:val="22"/>
                <w:szCs w:val="22"/>
              </w:rPr>
            </w:pPr>
            <w:r>
              <w:rPr>
                <w:color w:val="000000"/>
                <w:sz w:val="22"/>
                <w:szCs w:val="22"/>
              </w:rPr>
              <w:t>Reklamos nauda</w:t>
            </w:r>
          </w:p>
        </w:tc>
        <w:tc>
          <w:tcPr>
            <w:tcW w:w="4820" w:type="dxa"/>
            <w:shd w:val="clear" w:color="auto" w:fill="FFFFFF"/>
          </w:tcPr>
          <w:p>
            <w:pPr>
              <w:widowControl w:val="0"/>
              <w:jc w:val="both"/>
              <w:rPr>
                <w:color w:val="000000"/>
                <w:sz w:val="22"/>
                <w:szCs w:val="22"/>
              </w:rPr>
            </w:pPr>
          </w:p>
        </w:tc>
      </w:tr>
      <w:tr>
        <w:trPr>
          <w:cantSplit/>
          <w:trHeight w:val="23"/>
          <w:jc w:val="center"/>
        </w:trPr>
        <w:tc>
          <w:tcPr>
            <w:tcW w:w="4819" w:type="dxa"/>
            <w:shd w:val="clear" w:color="auto" w:fill="FFFFFF"/>
          </w:tcPr>
          <w:p>
            <w:pPr>
              <w:widowControl w:val="0"/>
              <w:jc w:val="both"/>
              <w:rPr>
                <w:color w:val="000000"/>
                <w:sz w:val="22"/>
                <w:szCs w:val="22"/>
              </w:rPr>
            </w:pPr>
            <w:r>
              <w:rPr>
                <w:color w:val="000000"/>
                <w:sz w:val="22"/>
                <w:szCs w:val="22"/>
              </w:rPr>
              <w:t>Reputacijos nauda</w:t>
            </w:r>
          </w:p>
        </w:tc>
        <w:tc>
          <w:tcPr>
            <w:tcW w:w="4820" w:type="dxa"/>
            <w:shd w:val="clear" w:color="auto" w:fill="FFFFFF"/>
          </w:tcPr>
          <w:p>
            <w:pPr>
              <w:widowControl w:val="0"/>
              <w:jc w:val="both"/>
              <w:rPr>
                <w:color w:val="000000"/>
                <w:sz w:val="22"/>
                <w:szCs w:val="22"/>
              </w:rPr>
            </w:pPr>
          </w:p>
        </w:tc>
      </w:tr>
      <w:tr>
        <w:trPr>
          <w:cantSplit/>
          <w:trHeight w:val="23"/>
          <w:jc w:val="center"/>
        </w:trPr>
        <w:tc>
          <w:tcPr>
            <w:tcW w:w="4819" w:type="dxa"/>
            <w:shd w:val="clear" w:color="auto" w:fill="FFFFFF"/>
          </w:tcPr>
          <w:p>
            <w:pPr>
              <w:widowControl w:val="0"/>
              <w:jc w:val="both"/>
              <w:rPr>
                <w:color w:val="000000"/>
                <w:sz w:val="22"/>
                <w:szCs w:val="22"/>
              </w:rPr>
            </w:pPr>
            <w:r>
              <w:rPr>
                <w:color w:val="000000"/>
                <w:sz w:val="22"/>
                <w:szCs w:val="22"/>
              </w:rPr>
              <w:t>Kita nemateriali nauda</w:t>
            </w:r>
          </w:p>
        </w:tc>
        <w:tc>
          <w:tcPr>
            <w:tcW w:w="4820" w:type="dxa"/>
            <w:shd w:val="clear" w:color="auto" w:fill="FFFFFF"/>
          </w:tcPr>
          <w:p>
            <w:pPr>
              <w:widowControl w:val="0"/>
              <w:jc w:val="both"/>
              <w:rPr>
                <w:color w:val="000000"/>
                <w:sz w:val="22"/>
                <w:szCs w:val="22"/>
              </w:rPr>
            </w:pPr>
          </w:p>
        </w:tc>
      </w:tr>
      <w:tr>
        <w:trPr>
          <w:cantSplit/>
          <w:trHeight w:val="23"/>
          <w:jc w:val="center"/>
        </w:trPr>
        <w:tc>
          <w:tcPr>
            <w:tcW w:w="4819" w:type="dxa"/>
            <w:shd w:val="clear" w:color="auto" w:fill="FFFFFF"/>
          </w:tcPr>
          <w:p>
            <w:pPr>
              <w:widowControl w:val="0"/>
              <w:jc w:val="both"/>
              <w:rPr>
                <w:color w:val="000000"/>
                <w:sz w:val="22"/>
                <w:szCs w:val="22"/>
              </w:rPr>
            </w:pPr>
            <w:r>
              <w:rPr>
                <w:b/>
                <w:bCs/>
                <w:color w:val="000000"/>
                <w:sz w:val="22"/>
                <w:szCs w:val="22"/>
              </w:rPr>
              <w:t>Nemateriali nauda, iš viso:</w:t>
            </w:r>
          </w:p>
        </w:tc>
        <w:tc>
          <w:tcPr>
            <w:tcW w:w="4820" w:type="dxa"/>
            <w:shd w:val="clear" w:color="auto" w:fill="FFFFFF"/>
          </w:tcPr>
          <w:p>
            <w:pPr>
              <w:widowControl w:val="0"/>
              <w:jc w:val="both"/>
              <w:rPr>
                <w:color w:val="000000"/>
                <w:sz w:val="22"/>
                <w:szCs w:val="22"/>
              </w:rPr>
            </w:pPr>
          </w:p>
        </w:tc>
      </w:tr>
    </w:tbl>
    <w:p>
      <w:pPr>
        <w:widowControl w:val="0"/>
        <w:ind w:firstLine="3686"/>
        <w:rPr>
          <w:color w:val="000000"/>
          <w:szCs w:val="24"/>
        </w:rPr>
      </w:pPr>
      <w:r>
        <w:rPr>
          <w:color w:val="000000"/>
          <w:szCs w:val="24"/>
        </w:rPr>
        <w:t>______________</w:t>
      </w:r>
    </w:p>
    <w:p>
      <w:pPr>
        <w:widowControl w:val="0"/>
        <w:rPr>
          <w:color w:val="000000"/>
          <w:szCs w:val="24"/>
        </w:rPr>
      </w:pPr>
    </w:p>
    <w:p>
      <w:pPr>
        <w:jc w:val="both"/>
        <w:rPr>
          <w:rFonts w:ascii="Times New Roman" w:hAnsi="Times New Roman"/>
          <w:sz w:val="20"/>
          <w:i/>
        </w:rPr>
      </w:pPr>
      <w:r>
        <w:rPr>
          <w:rFonts w:ascii="Times New Roman" w:hAnsi="Times New Roman"/>
          <w:b/>
          <w:sz w:val="20"/>
          <w:i/>
          <w:u w:val="single"/>
        </w:rPr>
        <w:t>TAR pastaba.</w:t>
      </w:r>
      <w:r>
        <w:rPr>
          <w:rFonts w:ascii="Times New Roman" w:hAnsi="Times New Roman"/>
          <w:sz w:val="20"/>
          <w:i/>
        </w:rPr>
        <w:t xml:space="preserve"> Nauja redakcija.</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20236d0b72d11ec8d9390588bf2de65">
        <w:r w:rsidRPr="00532B9F">
          <w:rPr>
            <w:rFonts w:ascii="Times New Roman" w:eastAsia="MS Mincho" w:hAnsi="Times New Roman"/>
            <w:sz w:val="20"/>
            <w:i/>
            <w:iCs/>
            <w:color w:val="0000FF" w:themeColor="hyperlink"/>
            <w:u w:val="single"/>
          </w:rPr>
          <w:t>(1.9E)1V-256</w:t>
        </w:r>
      </w:fldSimple>
      <w:r>
        <w:rPr>
          <w:rFonts w:ascii="Times New Roman" w:eastAsia="MS Mincho" w:hAnsi="Times New Roman"/>
          <w:sz w:val="20"/>
          <w:i/>
          <w:iCs/>
        </w:rPr>
        <w:t>,
2022-04-08,
paskelbta TAR 2022-04-08, i. k. 2022-07396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61c80640d76e11e3bb00c40fca124f97">
        <w:r w:rsidRPr="00532B9F">
          <w:rPr>
            <w:rFonts w:ascii="Times New Roman" w:eastAsia="MS Mincho" w:hAnsi="Times New Roman"/>
            <w:sz w:val="20"/>
            <w:iCs/>
            <w:color w:val="0000FF" w:themeColor="hyperlink"/>
            <w:u w:val="single"/>
          </w:rPr>
          <w:t>1V-685</w:t>
        </w:r>
      </w:fldSimple>
      <w:r>
        <w:rPr>
          <w:rFonts w:ascii="Times New Roman" w:eastAsia="MS Mincho" w:hAnsi="Times New Roman"/>
          <w:sz w:val="20"/>
          <w:iCs/>
        </w:rPr>
        <w:t>,
2014-05-09,
paskelbta TAR 2014-05-09, i. k. 2014-05261                </w:t>
      </w:r>
    </w:p>
    <w:p>
      <w:pPr>
        <w:jc w:val="both"/>
        <w:rPr>
          <w:rFonts w:ascii="Times New Roman" w:hAnsi="Times New Roman"/>
        </w:rPr>
      </w:pPr>
      <w:r>
        <w:rPr>
          <w:rFonts w:ascii="Times New Roman" w:hAnsi="Times New Roman"/>
          <w:sz w:val="20"/>
        </w:rPr>
        <w:t>Dėl Lietuvos Respublikos ryšių reguliavimo tarnybos direktoriaus 2006 m. balandžio 28 d. įsakymo Nr. 1V-574 „Dėl Universaliųjų elektroninių ryšių paslaugų teikimo nuostolių apskaičiavimo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e20236d0b72d11ec8d9390588bf2de65">
        <w:r w:rsidRPr="00532B9F">
          <w:rPr>
            <w:rFonts w:ascii="Times New Roman" w:eastAsia="MS Mincho" w:hAnsi="Times New Roman"/>
            <w:sz w:val="20"/>
            <w:iCs/>
            <w:color w:val="0000FF" w:themeColor="hyperlink"/>
            <w:u w:val="single"/>
          </w:rPr>
          <w:t>(1.9E)1V-256</w:t>
        </w:r>
      </w:fldSimple>
      <w:r>
        <w:rPr>
          <w:rFonts w:ascii="Times New Roman" w:eastAsia="MS Mincho" w:hAnsi="Times New Roman"/>
          <w:sz w:val="20"/>
          <w:iCs/>
        </w:rPr>
        <w:t>,
2022-04-08,
paskelbta TAR 2022-04-08, i. k. 2022-07396                </w:t>
      </w:r>
    </w:p>
    <w:p>
      <w:pPr>
        <w:jc w:val="both"/>
        <w:rPr>
          <w:rFonts w:ascii="Times New Roman" w:hAnsi="Times New Roman"/>
        </w:rPr>
      </w:pPr>
      <w:r>
        <w:rPr>
          <w:rFonts w:ascii="Times New Roman" w:hAnsi="Times New Roman"/>
          <w:sz w:val="20"/>
        </w:rPr>
        <w:t>Dėl Lietuvos Respublikos ryšių reguliavimo tarnybos direktoriaus 2006 m. balandžio 28 d. įsakymo Nr. 1V-574 „Dėl Universaliųjų elektroninių ryšių paslaugų teikimo nuostolių apskaičiavimo taisyklių patvirtinimo“ pakeitimo</w:t>
      </w:r>
    </w:p>
    <w:p>
      <w:pPr>
        <w:jc w:val="both"/>
        <w:rPr>
          <w:rFonts w:ascii="Times New Roman" w:hAnsi="Times New Roman"/>
          <w:sz w:val="20"/>
        </w:rPr>
      </w:pPr>
    </w:p>
    <w:p>
      <w:pPr>
        <w:widowControl w:val="0"/>
        <w:rPr>
          <w:rFonts w:ascii="Times New Roman" w:hAnsi="Times New Roman"/>
          <w:snapToGrid w:val="0"/>
        </w:rPr>
      </w:pPr>
    </w:p>
    <w:sectPr>
      <w:pgSz w:w="11906" w:h="16838"/>
      <w:pgMar w:top="1134" w:right="1134" w:bottom="1134" w:left="1701" w:header="567" w:footer="567" w:gutter="0"/>
      <w:cols w:space="1296"/>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STHupo">
    <w:charset w:val="86"/>
    <w:family w:val="auto"/>
    <w:pitch w:val="variable"/>
    <w:sig w:usb0="00000001" w:usb1="080F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pPr>
  </w:p>
</w:ftr>
</file>

<file path=word/footer10.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rPr>
        <w:szCs w:val="24"/>
      </w:rPr>
    </w:pPr>
  </w:p>
</w:ftr>
</file>

<file path=word/footer11.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rPr>
        <w:szCs w:val="24"/>
      </w:rPr>
    </w:pPr>
  </w:p>
</w:ftr>
</file>

<file path=word/footer12.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rPr>
        <w:szCs w:val="24"/>
      </w:rPr>
    </w:pPr>
  </w:p>
</w:ftr>
</file>

<file path=word/footer13.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pPr>
  </w:p>
</w:ftr>
</file>

<file path=word/footer14.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pPr>
  </w:p>
</w:ftr>
</file>

<file path=word/footer15.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153"/>
        <w:tab w:val="right" w:pos="8306"/>
      </w:tabs>
      <w:rPr>
        <w:lang w:val="en-GB"/>
      </w:rPr>
    </w:pPr>
  </w:p>
</w:hdr>
</file>

<file path=word/header10.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153"/>
        <w:tab w:val="right" w:pos="8306"/>
      </w:tabs>
      <w:rPr>
        <w:szCs w:val="24"/>
        <w:lang w:val="en-GB"/>
      </w:rPr>
    </w:pPr>
  </w:p>
</w:hdr>
</file>

<file path=word/header11.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jc w:val="center"/>
    </w:pPr>
    <w:r>
      <w:fldChar w:fldCharType="begin"/>
    </w:r>
    <w:r>
      <w:instrText>PAGE   \* MERGEFORMAT</w:instrText>
    </w:r>
    <w:r>
      <w:fldChar w:fldCharType="separate"/>
    </w:r>
    <w:r>
      <w:t>6</w:t>
    </w:r>
    <w:r>
      <w:fldChar w:fldCharType="end"/>
    </w:r>
  </w:p>
  <w:p>
    <w:pPr>
      <w:tabs>
        <w:tab w:val="center" w:pos="4153"/>
        <w:tab w:val="right" w:pos="8306"/>
      </w:tabs>
      <w:rPr>
        <w:szCs w:val="24"/>
        <w:lang w:val="en-GB"/>
      </w:rPr>
    </w:pPr>
  </w:p>
</w:hdr>
</file>

<file path=word/header12.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pPr>
  </w:p>
</w:hdr>
</file>

<file path=word/header13.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153"/>
        <w:tab w:val="right" w:pos="8306"/>
      </w:tabs>
      <w:rPr>
        <w:lang w:val="en-GB"/>
      </w:rPr>
    </w:pPr>
  </w:p>
</w:hdr>
</file>

<file path=word/header14.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pStyle w:val="Antrats"/>
      <w:jc w:val="center"/>
    </w:pPr>
    <w:r>
      <w:fldChar w:fldCharType="begin"/>
    </w:r>
    <w:r>
      <w:instrText>PAGE   \* MERGEFORMAT</w:instrText>
    </w:r>
    <w:r>
      <w:fldChar w:fldCharType="separate"/>
    </w:r>
    <w:r>
      <w:t>3</w:t>
    </w:r>
    <w:r>
      <w:fldChar w:fldCharType="end"/>
    </w:r>
  </w:p>
  <w:p>
    <w:pPr>
      <w:tabs>
        <w:tab w:val="center" w:pos="4153"/>
        <w:tab w:val="right" w:pos="8306"/>
      </w:tabs>
      <w:rPr>
        <w:lang w:val="en-GB"/>
      </w:rPr>
    </w:pPr>
  </w:p>
</w:hdr>
</file>

<file path=word/header15.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153"/>
        <w:tab w:val="right" w:pos="8306"/>
      </w:tabs>
      <w:rPr>
        <w:lang w:val="en-GB"/>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pStyle w:val="Antrats"/>
      <w:jc w:val="center"/>
    </w:pPr>
    <w:r>
      <w:fldChar w:fldCharType="begin"/>
    </w:r>
    <w:r>
      <w:instrText>PAGE   \* MERGEFORMAT</w:instrText>
    </w:r>
    <w:r>
      <w:fldChar w:fldCharType="separate"/>
    </w:r>
    <w:r>
      <w:t>12</w:t>
    </w:r>
    <w:r>
      <w:fldChar w:fldCharType="end"/>
    </w:r>
  </w:p>
  <w:p>
    <w:pPr>
      <w:tabs>
        <w:tab w:val="center" w:pos="4153"/>
        <w:tab w:val="right" w:pos="8306"/>
      </w:tabs>
      <w:rPr>
        <w:lang w:val="en-GB"/>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153"/>
        <w:tab w:val="right" w:pos="8306"/>
      </w:tabs>
      <w:rPr>
        <w:lang w:val="en-GB"/>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153"/>
        <w:tab w:val="right" w:pos="8306"/>
      </w:tabs>
      <w:rPr>
        <w:lang w:val="en-GB"/>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pStyle w:val="Antrats"/>
      <w:jc w:val="center"/>
    </w:pPr>
    <w:r>
      <w:fldChar w:fldCharType="begin"/>
    </w:r>
    <w:r>
      <w:instrText>PAGE   \* MERGEFORMAT</w:instrText>
    </w:r>
    <w:r>
      <w:fldChar w:fldCharType="separate"/>
    </w:r>
    <w:r>
      <w:t>3</w:t>
    </w:r>
    <w:r>
      <w:fldChar w:fldCharType="end"/>
    </w:r>
  </w:p>
  <w:p>
    <w:pPr>
      <w:tabs>
        <w:tab w:val="center" w:pos="4153"/>
        <w:tab w:val="right" w:pos="8306"/>
      </w:tabs>
      <w:rPr>
        <w:lang w:val="en-GB"/>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153"/>
        <w:tab w:val="right" w:pos="8306"/>
      </w:tabs>
      <w:rPr>
        <w:lang w:val="en-GB"/>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153"/>
        <w:tab w:val="right" w:pos="8306"/>
      </w:tabs>
      <w:rPr>
        <w:lang w:val="en-GB"/>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pStyle w:val="Antrats"/>
      <w:jc w:val="center"/>
    </w:pPr>
    <w:r>
      <w:fldChar w:fldCharType="begin"/>
    </w:r>
    <w:r>
      <w:instrText>PAGE   \* MERGEFORMAT</w:instrText>
    </w:r>
    <w:r>
      <w:fldChar w:fldCharType="separate"/>
    </w:r>
    <w:r>
      <w:t>2</w:t>
    </w:r>
    <w:r>
      <w:fldChar w:fldCharType="end"/>
    </w:r>
  </w:p>
  <w:p>
    <w:pPr>
      <w:tabs>
        <w:tab w:val="center" w:pos="4153"/>
        <w:tab w:val="right" w:pos="8306"/>
      </w:tabs>
      <w:rPr>
        <w:lang w:val="en-GB"/>
      </w:rPr>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pStyle w:val="Antrats"/>
      <w:jc w:val="center"/>
    </w:pPr>
  </w:p>
  <w:p>
    <w:pPr>
      <w:tabs>
        <w:tab w:val="center" w:pos="4153"/>
        <w:tab w:val="right" w:pos="8306"/>
      </w:tabs>
      <w:rPr>
        <w:lang w:val="en-GB"/>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zoom w:val="bestFit" w:percent="96"/>
  <w:defaultTabStop w:val="1296"/>
  <w:hyphenationZone w:val="396"/>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DF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5:docId w15:val="{CCC71958-BA73-4205-BD9C-8AD12C9A5920}"/>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optimizeForBrowser/>
</w:webSettings>
</file>

<file path=word/_rels/document.xml.rels><?xml version="1.0" encoding="UTF-8"?>

<Relationships xmlns="http://schemas.openxmlformats.org/package/2006/relationships">
  <Relationship Id="rId1" Type="http://schemas.openxmlformats.org/officeDocument/2006/relationships/control" Target="activeX/activeX1.xml"/>
  <Relationship Id="rId10" Type="http://schemas.openxmlformats.org/officeDocument/2006/relationships/header" Target="header9.xml"/>
  <Relationship Id="rId11" Type="http://schemas.openxmlformats.org/officeDocument/2006/relationships/image" Target="media/image1.wmf"/>
  <Relationship Id="rId12" Type="http://schemas.openxmlformats.org/officeDocument/2006/relationships/image" Target="media/image10.wmf"/>
  <Relationship Id="rId13" Type="http://schemas.openxmlformats.org/officeDocument/2006/relationships/image" Target="media/image11.wmf"/>
  <Relationship Id="rId14" Type="http://schemas.openxmlformats.org/officeDocument/2006/relationships/image" Target="media/image12.jpeg"/>
  <Relationship Id="rId15" Type="http://schemas.openxmlformats.org/officeDocument/2006/relationships/image" Target="media/image13.jpeg"/>
  <Relationship Id="rId16" Type="http://schemas.openxmlformats.org/officeDocument/2006/relationships/image" Target="media/image14.wmf"/>
  <Relationship Id="rId17" Type="http://schemas.openxmlformats.org/officeDocument/2006/relationships/image" Target="media/image15.wmf"/>
  <Relationship Id="rId18" Type="http://schemas.openxmlformats.org/officeDocument/2006/relationships/image" Target="media/image16.wmf"/>
  <Relationship Id="rId19" Type="http://schemas.openxmlformats.org/officeDocument/2006/relationships/image" Target="media/image17.wmf"/>
  <Relationship Id="rId2" Type="http://schemas.openxmlformats.org/officeDocument/2006/relationships/endnotes" Target="endnotes.xml"/>
  <Relationship Id="rId20" Type="http://schemas.openxmlformats.org/officeDocument/2006/relationships/image" Target="media/image18.wmf"/>
  <Relationship Id="rId21" Type="http://schemas.openxmlformats.org/officeDocument/2006/relationships/image" Target="media/image2.wmf"/>
  <Relationship Id="rId22" Type="http://schemas.openxmlformats.org/officeDocument/2006/relationships/image" Target="media/image3.wmf"/>
  <Relationship Id="rId23" Type="http://schemas.openxmlformats.org/officeDocument/2006/relationships/image" Target="media/image4.wmf"/>
  <Relationship Id="rId24" Type="http://schemas.openxmlformats.org/officeDocument/2006/relationships/image" Target="media/image5.wmf"/>
  <Relationship Id="rId25" Type="http://schemas.openxmlformats.org/officeDocument/2006/relationships/image" Target="media/image6.wmf"/>
  <Relationship Id="rId26" Type="http://schemas.openxmlformats.org/officeDocument/2006/relationships/image" Target="media/image7.wmf"/>
  <Relationship Id="rId27" Type="http://schemas.openxmlformats.org/officeDocument/2006/relationships/image" Target="media/image8.wmf"/>
  <Relationship Id="rId28" Type="http://schemas.openxmlformats.org/officeDocument/2006/relationships/image" Target="media/image9.wmf"/>
  <Relationship Id="rId29" Type="http://schemas.openxmlformats.org/officeDocument/2006/relationships/settings" Target="settings.xml"/>
  <Relationship Id="rId3" Type="http://schemas.openxmlformats.org/officeDocument/2006/relationships/fontTable" Target="fontTable.xml"/>
  <Relationship Id="rId30" Type="http://schemas.openxmlformats.org/officeDocument/2006/relationships/styles" Target="styles.xml"/>
  <Relationship Id="rId31" Type="http://schemas.openxmlformats.org/officeDocument/2006/relationships/theme" Target="theme/theme1.xml"/>
  <Relationship Id="rId32" Type="http://schemas.openxmlformats.org/officeDocument/2006/relationships/webSettings" Target="webSettings.xml"/>
  <Relationship Id="rId33" Type="http://schemas.openxmlformats.org/officeDocument/2006/relationships/header" Target="header10.xml"/>
  <Relationship Id="rId34" Type="http://schemas.openxmlformats.org/officeDocument/2006/relationships/header" Target="header11.xml"/>
  <Relationship Id="rId35" Type="http://schemas.openxmlformats.org/officeDocument/2006/relationships/footer" Target="footer10.xml"/>
  <Relationship Id="rId36" Type="http://schemas.openxmlformats.org/officeDocument/2006/relationships/footer" Target="footer11.xml"/>
  <Relationship Id="rId37" Type="http://schemas.openxmlformats.org/officeDocument/2006/relationships/header" Target="header12.xml"/>
  <Relationship Id="rId38" Type="http://schemas.openxmlformats.org/officeDocument/2006/relationships/footer" Target="footer12.xml"/>
  <Relationship Id="rId39" Type="http://schemas.openxmlformats.org/officeDocument/2006/relationships/header" Target="header13.xml"/>
  <Relationship Id="rId4" Type="http://schemas.openxmlformats.org/officeDocument/2006/relationships/footer" Target="footer7.xml"/>
  <Relationship Id="rId40" Type="http://schemas.openxmlformats.org/officeDocument/2006/relationships/header" Target="header14.xml"/>
  <Relationship Id="rId41" Type="http://schemas.openxmlformats.org/officeDocument/2006/relationships/footer" Target="footer13.xml"/>
  <Relationship Id="rId42" Type="http://schemas.openxmlformats.org/officeDocument/2006/relationships/footer" Target="footer14.xml"/>
  <Relationship Id="rId43" Type="http://schemas.openxmlformats.org/officeDocument/2006/relationships/header" Target="header15.xml"/>
  <Relationship Id="rId44" Type="http://schemas.openxmlformats.org/officeDocument/2006/relationships/footer" Target="footer15.xml"/>
  <Relationship Id="rId5" Type="http://schemas.openxmlformats.org/officeDocument/2006/relationships/footer" Target="footer8.xml"/>
  <Relationship Id="rId6" Type="http://schemas.openxmlformats.org/officeDocument/2006/relationships/footer" Target="footer9.xml"/>
  <Relationship Id="rId7" Type="http://schemas.openxmlformats.org/officeDocument/2006/relationships/footnotes" Target="footnotes.xml"/>
  <Relationship Id="rId8" Type="http://schemas.openxmlformats.org/officeDocument/2006/relationships/header" Target="header7.xml"/>
  <Relationship Id="rId9" Type="http://schemas.openxmlformats.org/officeDocument/2006/relationships/header" Target="header8.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47</TotalTime>
  <Pages>22</Pages>
  <Words>35322</Words>
  <Characters>20135</Characters>
  <Application>Microsoft Office Word</Application>
  <DocSecurity>0</DocSecurity>
  <Lines>167</Lines>
  <Paragraphs>110</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
    </vt:vector>
  </TitlesOfParts>
  <Company/>
  <LinksUpToDate>false</LinksUpToDate>
  <CharactersWithSpaces>55347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2015-07-02T14:27:00Z</dcterms:created>
  <dc:creator>User</dc:creator>
  <lastModifiedBy>DZIKAITĖ Jolanta</lastModifiedBy>
  <dcterms:modified xsi:type="dcterms:W3CDTF">2022-04-12T11:44:00Z</dcterms:modified>
  <revision>11</revision>
</coreProperties>
</file>