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2015-08-12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7394324830E1">
        <w:r w:rsidRPr="00532B9F">
          <w:rPr>
            <w:rFonts w:ascii="Times New Roman" w:eastAsia="MS Mincho" w:hAnsi="Times New Roman"/>
            <w:sz w:val="20"/>
            <w:i/>
            <w:iCs/>
            <w:color w:val="0000FF" w:themeColor="hyperlink"/>
            <w:u w:val="single"/>
          </w:rPr>
          <w:t>45-1496</w:t>
        </w:r>
      </w:fldSimple>
      <w:r>
        <w:rPr>
          <w:rFonts w:ascii="Times New Roman" w:eastAsia="MS Mincho" w:hAnsi="Times New Roman"/>
          <w:sz w:val="20"/>
          <w:i/>
          <w:iCs/>
        </w:rPr>
        <w:t>, i. k. 10511RRISAK001V-311</w:t>
      </w:r>
    </w:p>
    <w:p>
      <w:pPr>
        <w:jc w:val="both"/>
        <w:rPr>
          <w:rFonts w:ascii="Times New Roman" w:hAnsi="Times New Roman"/>
          <w:sz w:val="20"/>
        </w:rPr>
      </w:pPr>
    </w:p>
    <w:p>
      <w:pPr>
        <w:tabs>
          <w:tab w:val="center" w:pos="4153"/>
          <w:tab w:val="right" w:pos="8306"/>
        </w:tabs>
        <w:rPr>
          <w:lang w:val="en-GB"/>
        </w:rPr>
      </w:pPr>
    </w:p>
    <w:p>
      <w:pPr>
        <w:jc w:val="center"/>
        <w:rPr>
          <w:b/>
          <w:color w:val="000000"/>
          <w:lang w:eastAsia="lt-LT"/>
        </w:rPr>
      </w:pPr>
      <w:r>
        <w:rPr>
          <w:b/>
          <w:color w:val="000000"/>
          <w:lang w:eastAsia="lt-LT"/>
        </w:rPr>
        <w:t>LIETUVOS RESPUBLIKOS RYŠIŲ REGULIAVIMO TARNYBOS DIREKTORIUS</w:t>
      </w:r>
    </w:p>
    <w:p>
      <w:pPr>
        <w:jc w:val="center"/>
        <w:rPr>
          <w:color w:val="000000"/>
          <w:lang w:eastAsia="lt-LT"/>
        </w:rPr>
      </w:pPr>
    </w:p>
    <w:p>
      <w:pPr>
        <w:jc w:val="center"/>
        <w:rPr>
          <w:b/>
          <w:color w:val="000000"/>
          <w:lang w:eastAsia="lt-LT"/>
        </w:rPr>
      </w:pPr>
      <w:r>
        <w:rPr>
          <w:b/>
          <w:color w:val="000000"/>
          <w:lang w:eastAsia="lt-LT"/>
        </w:rPr>
        <w:t>Į S A K Y M A S</w:t>
      </w:r>
    </w:p>
    <w:p>
      <w:pPr>
        <w:jc w:val="center"/>
        <w:rPr>
          <w:b/>
          <w:color w:val="000000"/>
          <w:lang w:eastAsia="lt-LT"/>
        </w:rPr>
      </w:pPr>
      <w:r>
        <w:rPr>
          <w:b/>
          <w:color w:val="000000"/>
          <w:lang w:eastAsia="lt-LT"/>
        </w:rPr>
        <w:t>DĖL ELEKTROMAGNETINIO LAUKO STIPRIO MATAVIMO RADIJO STEBĖSENOS STOTYSE TAISYKLIŲ PATVIRTINIMO</w:t>
      </w:r>
    </w:p>
    <w:p>
      <w:pPr>
        <w:jc w:val="center"/>
        <w:rPr>
          <w:color w:val="000000"/>
          <w:lang w:eastAsia="lt-LT"/>
        </w:rPr>
      </w:pPr>
    </w:p>
    <w:p>
      <w:pPr>
        <w:jc w:val="center"/>
        <w:rPr>
          <w:color w:val="000000"/>
          <w:lang w:eastAsia="lt-LT"/>
        </w:rPr>
      </w:pPr>
      <w:r>
        <w:rPr>
          <w:color w:val="000000"/>
          <w:lang w:eastAsia="lt-LT"/>
        </w:rPr>
        <w:t>2005 m. balandžio 1 d. Nr. 1V-311</w:t>
      </w:r>
    </w:p>
    <w:p>
      <w:pPr>
        <w:jc w:val="center"/>
        <w:rPr>
          <w:color w:val="000000"/>
          <w:lang w:eastAsia="lt-LT"/>
        </w:rPr>
      </w:pPr>
      <w:r>
        <w:rPr>
          <w:color w:val="000000"/>
          <w:lang w:eastAsia="lt-LT"/>
        </w:rPr>
        <w:t>Vilnius</w:t>
      </w:r>
    </w:p>
    <w:p>
      <w:pPr>
        <w:ind w:firstLine="709"/>
        <w:jc w:val="both"/>
        <w:rPr>
          <w:color w:val="000000"/>
          <w:lang w:eastAsia="lt-LT"/>
        </w:rPr>
      </w:pPr>
    </w:p>
    <w:p>
      <w:pPr>
        <w:ind w:firstLine="709"/>
        <w:jc w:val="both"/>
        <w:rPr>
          <w:color w:val="000000"/>
          <w:lang w:eastAsia="lt-LT"/>
        </w:rPr>
      </w:pPr>
    </w:p>
    <w:p>
      <w:pPr>
        <w:ind w:firstLine="709"/>
        <w:jc w:val="both"/>
        <w:rPr>
          <w:color w:val="000000"/>
          <w:lang w:eastAsia="lt-LT"/>
        </w:rPr>
      </w:pPr>
      <w:r>
        <w:rPr>
          <w:szCs w:val="24"/>
        </w:rPr>
        <w:t>Vadovaudamasis Lietuvos Respublikos elektroninių ryšių įstatymo 46 straipsnio 1 dalimi ir atsižvelgdamas į Tarptautinės telekomunikacijų sąjungos (ITU) rekomendaciją ITU-R SM. 378-7 „Elektromagnetinio lauko stiprio matavimai radijo stebėsenos stotyse: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ed1a00401911e58568ed613eb39a73">
        <w:r w:rsidRPr="00532B9F">
          <w:rPr>
            <w:rFonts w:ascii="Times New Roman" w:eastAsia="MS Mincho" w:hAnsi="Times New Roman"/>
            <w:sz w:val="20"/>
            <w:i/>
            <w:iCs/>
            <w:color w:val="0000FF" w:themeColor="hyperlink"/>
            <w:u w:val="single"/>
          </w:rPr>
          <w:t>1V-941</w:t>
        </w:r>
      </w:fldSimple>
      <w:r>
        <w:rPr>
          <w:rFonts w:ascii="Times New Roman" w:eastAsia="MS Mincho" w:hAnsi="Times New Roman"/>
          <w:sz w:val="20"/>
          <w:i/>
          <w:iCs/>
        </w:rPr>
        <w:t>,
2015-08-11,
paskelbta TAR 2015-08-11, i. k. 2015-12216            </w:t>
      </w:r>
    </w:p>
    <w:p/>
    <w:p>
      <w:pPr>
        <w:ind w:firstLine="709"/>
        <w:jc w:val="both"/>
        <w:rPr>
          <w:color w:val="000000"/>
          <w:lang w:eastAsia="lt-LT"/>
        </w:rPr>
      </w:pPr>
      <w:r>
        <w:rPr>
          <w:color w:val="000000"/>
          <w:szCs w:val="22"/>
          <w:lang w:eastAsia="lt-LT"/>
        </w:rPr>
        <w:t>1</w:t>
      </w:r>
      <w:r>
        <w:rPr>
          <w:color w:val="000000"/>
          <w:szCs w:val="22"/>
          <w:lang w:eastAsia="lt-LT"/>
        </w:rPr>
        <w:t xml:space="preserve">. </w:t>
      </w:r>
      <w:r>
        <w:rPr>
          <w:color w:val="000000"/>
          <w:spacing w:val="60"/>
          <w:szCs w:val="22"/>
          <w:lang w:eastAsia="lt-LT"/>
        </w:rPr>
        <w:t>Tvirtinu</w:t>
      </w:r>
      <w:r>
        <w:rPr>
          <w:color w:val="000000"/>
          <w:szCs w:val="22"/>
          <w:lang w:eastAsia="lt-LT"/>
        </w:rPr>
        <w:t xml:space="preserve"> Elektromagnetinio lauko stiprio matavimo radijo stebėsenos stotyse taisykles (pridedama).</w:t>
      </w:r>
    </w:p>
    <w:p>
      <w:pPr>
        <w:ind w:firstLine="709"/>
        <w:jc w:val="both"/>
        <w:rPr>
          <w:color w:val="000000"/>
          <w:lang w:eastAsia="lt-LT"/>
        </w:rPr>
      </w:pPr>
      <w:r>
        <w:rPr>
          <w:color w:val="000000"/>
          <w:szCs w:val="22"/>
          <w:lang w:eastAsia="lt-LT"/>
        </w:rPr>
        <w:t>2</w:t>
      </w:r>
      <w:r>
        <w:rPr>
          <w:color w:val="000000"/>
          <w:szCs w:val="22"/>
          <w:lang w:eastAsia="lt-LT"/>
        </w:rPr>
        <w:t xml:space="preserve">. </w:t>
      </w:r>
      <w:r>
        <w:rPr>
          <w:color w:val="000000"/>
          <w:spacing w:val="60"/>
          <w:szCs w:val="22"/>
          <w:lang w:eastAsia="lt-LT"/>
        </w:rPr>
        <w:t>Nurodau</w:t>
      </w:r>
      <w:r>
        <w:rPr>
          <w:color w:val="000000"/>
          <w:szCs w:val="22"/>
          <w:lang w:eastAsia="lt-LT"/>
        </w:rPr>
        <w:t xml:space="preserve"> šį įsakymą paskelbti „Valstybės žiniose“.</w:t>
      </w:r>
    </w:p>
    <w:p>
      <w:pPr>
        <w:tabs>
          <w:tab w:val="right" w:pos="9639"/>
        </w:tabs>
      </w:pPr>
    </w:p>
    <w:p>
      <w:pPr>
        <w:tabs>
          <w:tab w:val="right" w:pos="9639"/>
        </w:tabs>
      </w:pPr>
    </w:p>
    <w:p>
      <w:pPr>
        <w:tabs>
          <w:tab w:val="right" w:pos="9639"/>
        </w:tabs>
      </w:pPr>
    </w:p>
    <w:p>
      <w:pPr>
        <w:tabs>
          <w:tab w:val="right" w:pos="9639"/>
        </w:tabs>
        <w:rPr>
          <w:color w:val="000000"/>
          <w:lang w:eastAsia="lt-LT"/>
        </w:rPr>
      </w:pPr>
      <w:r>
        <w:rPr>
          <w:caps/>
        </w:rPr>
        <w:t xml:space="preserve">Direktorius </w:t>
        <w:tab/>
        <w:t>Tomas Barakauskas</w:t>
      </w:r>
    </w:p>
    <w:p>
      <w:pPr>
        <w:tabs>
          <w:tab w:val="left" w:pos="1304"/>
          <w:tab w:val="left" w:pos="1457"/>
          <w:tab w:val="left" w:pos="1604"/>
          <w:tab w:val="left" w:pos="1757"/>
        </w:tabs>
      </w:pPr>
      <w:r>
        <w:br w:type="page"/>
      </w:r>
    </w:p>
    <w:p>
      <w:pPr>
        <w:tabs>
          <w:tab w:val="left" w:pos="1304"/>
          <w:tab w:val="left" w:pos="1457"/>
          <w:tab w:val="left" w:pos="1604"/>
          <w:tab w:val="left" w:pos="1757"/>
        </w:tabs>
        <w:ind w:left="4962"/>
        <w:rPr>
          <w:szCs w:val="24"/>
        </w:rPr>
      </w:pPr>
      <w:r>
        <w:rPr>
          <w:szCs w:val="24"/>
        </w:rPr>
        <w:t>PATVIRTINTA</w:t>
      </w:r>
    </w:p>
    <w:p>
      <w:pPr>
        <w:tabs>
          <w:tab w:val="left" w:pos="1304"/>
          <w:tab w:val="left" w:pos="1457"/>
          <w:tab w:val="left" w:pos="1604"/>
          <w:tab w:val="left" w:pos="1757"/>
        </w:tabs>
        <w:ind w:left="4962"/>
        <w:rPr>
          <w:szCs w:val="24"/>
        </w:rPr>
      </w:pPr>
      <w:r>
        <w:rPr>
          <w:szCs w:val="24"/>
        </w:rPr>
        <w:t xml:space="preserve">Lietuvos Respublikos ryšių reguliavimo </w:t>
      </w:r>
    </w:p>
    <w:p>
      <w:pPr>
        <w:tabs>
          <w:tab w:val="left" w:pos="1304"/>
          <w:tab w:val="left" w:pos="1457"/>
          <w:tab w:val="left" w:pos="1604"/>
          <w:tab w:val="left" w:pos="1757"/>
        </w:tabs>
        <w:ind w:left="4962"/>
        <w:rPr>
          <w:szCs w:val="24"/>
        </w:rPr>
      </w:pPr>
      <w:r>
        <w:rPr>
          <w:szCs w:val="24"/>
        </w:rPr>
        <w:t xml:space="preserve">tarnybos direktoriaus 2005 m. balandžio </w:t>
      </w:r>
    </w:p>
    <w:p>
      <w:pPr>
        <w:tabs>
          <w:tab w:val="left" w:pos="1304"/>
          <w:tab w:val="left" w:pos="1457"/>
          <w:tab w:val="left" w:pos="1604"/>
          <w:tab w:val="left" w:pos="1757"/>
        </w:tabs>
        <w:ind w:left="4962"/>
        <w:rPr>
          <w:szCs w:val="24"/>
        </w:rPr>
      </w:pPr>
      <w:r>
        <w:rPr>
          <w:szCs w:val="24"/>
        </w:rPr>
        <w:t xml:space="preserve">1 d. įsakymu Nr. 1V-311 </w:t>
      </w:r>
    </w:p>
    <w:p>
      <w:pPr>
        <w:tabs>
          <w:tab w:val="left" w:pos="1304"/>
          <w:tab w:val="left" w:pos="1457"/>
          <w:tab w:val="left" w:pos="1604"/>
          <w:tab w:val="left" w:pos="1757"/>
        </w:tabs>
        <w:ind w:left="4962"/>
        <w:rPr>
          <w:szCs w:val="24"/>
        </w:rPr>
      </w:pPr>
      <w:r>
        <w:rPr>
          <w:szCs w:val="24"/>
        </w:rPr>
        <w:t xml:space="preserve">(Lietuvos Respublikos ryšių reguliavimo </w:t>
      </w:r>
    </w:p>
    <w:p>
      <w:pPr>
        <w:tabs>
          <w:tab w:val="left" w:pos="1304"/>
          <w:tab w:val="left" w:pos="1457"/>
          <w:tab w:val="left" w:pos="1604"/>
          <w:tab w:val="left" w:pos="1757"/>
        </w:tabs>
        <w:ind w:left="4962"/>
        <w:rPr>
          <w:szCs w:val="24"/>
        </w:rPr>
      </w:pPr>
      <w:r>
        <w:rPr>
          <w:szCs w:val="24"/>
        </w:rPr>
        <w:t xml:space="preserve">tarnybos direktoriaus 2015 m. rugpjūčio 11 d. </w:t>
      </w:r>
    </w:p>
    <w:p>
      <w:pPr>
        <w:tabs>
          <w:tab w:val="left" w:pos="1304"/>
          <w:tab w:val="left" w:pos="1457"/>
          <w:tab w:val="left" w:pos="1604"/>
          <w:tab w:val="left" w:pos="1757"/>
        </w:tabs>
        <w:ind w:left="4962"/>
        <w:rPr>
          <w:szCs w:val="24"/>
        </w:rPr>
      </w:pPr>
      <w:r>
        <w:rPr>
          <w:szCs w:val="24"/>
        </w:rPr>
        <w:t>įsakymo Nr. 1V-941 redakcija)</w:t>
      </w:r>
    </w:p>
    <w:p>
      <w:pPr>
        <w:tabs>
          <w:tab w:val="left" w:pos="1304"/>
          <w:tab w:val="left" w:pos="1457"/>
          <w:tab w:val="left" w:pos="1604"/>
          <w:tab w:val="left" w:pos="1757"/>
        </w:tabs>
        <w:ind w:left="5953"/>
        <w:rPr>
          <w:szCs w:val="24"/>
        </w:rPr>
      </w:pPr>
    </w:p>
    <w:p>
      <w:pPr>
        <w:ind w:firstLine="312"/>
        <w:jc w:val="both"/>
        <w:rPr>
          <w:szCs w:val="24"/>
        </w:rPr>
      </w:pPr>
    </w:p>
    <w:p>
      <w:pPr>
        <w:jc w:val="center"/>
        <w:rPr>
          <w:b/>
          <w:bCs/>
          <w:caps/>
          <w:szCs w:val="24"/>
        </w:rPr>
      </w:pPr>
      <w:r>
        <w:rPr>
          <w:rFonts w:ascii="TimesLT" w:hAnsi="TimesLT"/>
          <w:b/>
          <w:szCs w:val="24"/>
        </w:rPr>
        <w:t>ELEKTROMAGNETINIO LAUKO STIPRIO MATAVIMO</w:t>
      </w:r>
      <w:r>
        <w:rPr>
          <w:rFonts w:ascii="TimesLT" w:hAnsi="TimesLT"/>
          <w:szCs w:val="24"/>
        </w:rPr>
        <w:t xml:space="preserve"> </w:t>
      </w:r>
      <w:r>
        <w:rPr>
          <w:b/>
          <w:bCs/>
          <w:caps/>
          <w:szCs w:val="24"/>
        </w:rPr>
        <w:t>RADIJO STEBĖSENOS STOTYSE TAISYKLĖS</w:t>
      </w:r>
    </w:p>
    <w:p>
      <w:pPr>
        <w:rPr>
          <w:sz w:val="20"/>
        </w:rPr>
      </w:pPr>
    </w:p>
    <w:p>
      <w:pPr>
        <w:jc w:val="center"/>
        <w:rPr>
          <w:b/>
          <w:bCs/>
          <w:caps/>
          <w:szCs w:val="24"/>
        </w:rPr>
      </w:pPr>
      <w:r>
        <w:rPr>
          <w:b/>
          <w:bCs/>
          <w:caps/>
          <w:szCs w:val="24"/>
        </w:rPr>
        <w:t>I</w:t>
      </w:r>
      <w:r>
        <w:rPr>
          <w:b/>
          <w:bCs/>
          <w:caps/>
          <w:szCs w:val="24"/>
        </w:rPr>
        <w:t xml:space="preserve">. </w:t>
      </w:r>
      <w:r>
        <w:rPr>
          <w:b/>
          <w:bCs/>
          <w:caps/>
          <w:szCs w:val="24"/>
        </w:rPr>
        <w:t>BENDROSIOS NUOSTATOS</w:t>
      </w:r>
    </w:p>
    <w:p>
      <w:pPr>
        <w:rPr>
          <w:sz w:val="10"/>
          <w:szCs w:val="10"/>
        </w:rPr>
      </w:pPr>
    </w:p>
    <w:p>
      <w:pPr>
        <w:ind w:firstLine="170"/>
        <w:jc w:val="both"/>
        <w:rPr>
          <w:szCs w:val="24"/>
        </w:rPr>
      </w:pPr>
      <w:r>
        <w:rPr>
          <w:szCs w:val="24"/>
        </w:rPr>
        <w:t>1</w:t>
      </w:r>
      <w:r>
        <w:rPr>
          <w:szCs w:val="24"/>
        </w:rPr>
        <w:t>. Elektromagnetinio lauko stiprio matavimo radijo stebėsenos stotyse taisyklės (toliau – Taisyklės) reglamentuoja matavimo metodus, naudojamus Lietuvos Respublikos ryšių reguliavimo tarnybos (toliau – Tarnyba), matuojant radijo siųstuvų sukeliamo elektromagnetinio lauko elektrinės dedamosios stiprį (toliau – stipris) radijo dažnių juostoje nuo 9 kHz iki 40 GHz.</w:t>
      </w:r>
    </w:p>
    <w:p>
      <w:pPr>
        <w:ind w:firstLine="170"/>
        <w:jc w:val="both"/>
        <w:rPr>
          <w:szCs w:val="24"/>
        </w:rPr>
      </w:pPr>
      <w:r>
        <w:rPr>
          <w:szCs w:val="24"/>
        </w:rPr>
        <w:t>2</w:t>
      </w:r>
      <w:r>
        <w:rPr>
          <w:szCs w:val="24"/>
        </w:rPr>
        <w:t>. Taisyklėse vartojamos sąvokos:</w:t>
      </w:r>
    </w:p>
    <w:p>
      <w:pPr>
        <w:ind w:firstLine="170"/>
        <w:jc w:val="both"/>
        <w:rPr>
          <w:szCs w:val="24"/>
        </w:rPr>
      </w:pPr>
      <w:r>
        <w:rPr>
          <w:szCs w:val="24"/>
        </w:rPr>
        <w:t>2.1</w:t>
      </w:r>
      <w:r>
        <w:rPr>
          <w:szCs w:val="24"/>
        </w:rPr>
        <w:t xml:space="preserve">. </w:t>
      </w:r>
      <w:r>
        <w:rPr>
          <w:b/>
          <w:bCs/>
          <w:szCs w:val="24"/>
        </w:rPr>
        <w:t xml:space="preserve">Aktyvioji antena </w:t>
      </w:r>
      <w:r>
        <w:rPr>
          <w:szCs w:val="24"/>
        </w:rPr>
        <w:t>–</w:t>
      </w:r>
      <w:r>
        <w:rPr>
          <w:b/>
          <w:bCs/>
          <w:szCs w:val="24"/>
        </w:rPr>
        <w:t xml:space="preserve"> </w:t>
      </w:r>
      <w:r>
        <w:rPr>
          <w:szCs w:val="24"/>
        </w:rPr>
        <w:t xml:space="preserve">elektriškai mažų matmenų antena su integruotu stiprintuvu, t. y. tokia antena, kuri telpa į įsivaizduojamą spindulio </w:t>
      </w:r>
      <w:r>
        <w:rPr>
          <w:rFonts w:ascii="Symbol" w:hAnsi="Symbol"/>
          <w:szCs w:val="24"/>
        </w:rPr>
        <w:t></w:t>
      </w:r>
      <w:r>
        <w:rPr>
          <w:szCs w:val="24"/>
        </w:rPr>
        <w:t>/2</w:t>
      </w:r>
      <w:r>
        <w:rPr>
          <w:rFonts w:ascii="Symbol" w:hAnsi="Symbol"/>
          <w:szCs w:val="24"/>
        </w:rPr>
        <w:t></w:t>
      </w:r>
      <w:r>
        <w:rPr>
          <w:szCs w:val="24"/>
        </w:rPr>
        <w:t xml:space="preserve">sferą, kur </w:t>
      </w:r>
      <w:r>
        <w:rPr>
          <w:rFonts w:ascii="Symbol" w:hAnsi="Symbol"/>
          <w:szCs w:val="24"/>
        </w:rPr>
        <w:t></w:t>
      </w:r>
      <w:r>
        <w:rPr>
          <w:szCs w:val="24"/>
        </w:rPr>
        <w:t xml:space="preserve"> – radijo bangos ilgis.</w:t>
      </w:r>
    </w:p>
    <w:p>
      <w:pPr>
        <w:ind w:firstLine="170"/>
        <w:jc w:val="both"/>
        <w:rPr>
          <w:szCs w:val="24"/>
        </w:rPr>
      </w:pPr>
      <w:r>
        <w:rPr>
          <w:szCs w:val="24"/>
        </w:rPr>
        <w:t>2.2</w:t>
      </w:r>
      <w:r>
        <w:rPr>
          <w:szCs w:val="24"/>
        </w:rPr>
        <w:t xml:space="preserve">. </w:t>
      </w:r>
      <w:r>
        <w:rPr>
          <w:b/>
          <w:bCs/>
          <w:szCs w:val="24"/>
        </w:rPr>
        <w:t>Antenos faktorius (K</w:t>
      </w:r>
      <w:r>
        <w:rPr>
          <w:b/>
          <w:bCs/>
          <w:position w:val="-6"/>
          <w:szCs w:val="24"/>
        </w:rPr>
        <w:t>e</w:t>
      </w:r>
      <w:r>
        <w:rPr>
          <w:b/>
          <w:bCs/>
          <w:szCs w:val="24"/>
        </w:rPr>
        <w:t xml:space="preserve">) </w:t>
      </w:r>
      <w:r>
        <w:rPr>
          <w:szCs w:val="24"/>
        </w:rPr>
        <w:t>–</w:t>
      </w:r>
      <w:r>
        <w:rPr>
          <w:b/>
          <w:bCs/>
          <w:szCs w:val="24"/>
        </w:rPr>
        <w:t xml:space="preserve"> </w:t>
      </w:r>
      <w:r>
        <w:rPr>
          <w:szCs w:val="24"/>
        </w:rPr>
        <w:t>plokščiosios radijo bangos</w:t>
      </w:r>
      <w:r>
        <w:rPr>
          <w:b/>
          <w:bCs/>
          <w:szCs w:val="24"/>
        </w:rPr>
        <w:t xml:space="preserve"> </w:t>
      </w:r>
      <w:r>
        <w:rPr>
          <w:szCs w:val="24"/>
        </w:rPr>
        <w:t>stiprio ir įtampos (U</w:t>
      </w:r>
      <w:r>
        <w:rPr>
          <w:position w:val="-6"/>
          <w:szCs w:val="24"/>
        </w:rPr>
        <w:t>a</w:t>
      </w:r>
      <w:r>
        <w:rPr>
          <w:szCs w:val="24"/>
        </w:rPr>
        <w:t>) antenos gnybtuose santykis, esant nominaliai antenos apkrovai.</w:t>
      </w:r>
    </w:p>
    <w:p>
      <w:pPr>
        <w:ind w:firstLine="170"/>
        <w:jc w:val="both"/>
        <w:rPr>
          <w:szCs w:val="24"/>
        </w:rPr>
      </w:pPr>
      <w:r>
        <w:rPr>
          <w:szCs w:val="24"/>
        </w:rPr>
        <w:t>2.3</w:t>
      </w:r>
      <w:r>
        <w:rPr>
          <w:szCs w:val="24"/>
        </w:rPr>
        <w:t xml:space="preserve">. </w:t>
      </w:r>
      <w:r>
        <w:rPr>
          <w:b/>
          <w:bCs/>
          <w:szCs w:val="24"/>
        </w:rPr>
        <w:t>Matavimo imtuvas</w:t>
      </w:r>
      <w:r>
        <w:rPr>
          <w:szCs w:val="24"/>
        </w:rPr>
        <w:t xml:space="preserve"> – imtuvas ar spektro analizatorius, skirtas radijo signalų parametrams matuoti.</w:t>
      </w:r>
    </w:p>
    <w:p>
      <w:pPr>
        <w:ind w:firstLine="170"/>
        <w:jc w:val="both"/>
        <w:rPr>
          <w:szCs w:val="24"/>
        </w:rPr>
      </w:pPr>
      <w:r>
        <w:rPr>
          <w:szCs w:val="24"/>
        </w:rPr>
        <w:t>2.4</w:t>
      </w:r>
      <w:r>
        <w:rPr>
          <w:szCs w:val="24"/>
        </w:rPr>
        <w:t>. Kitos Taisyklėse vartojamos sąvokos apibrėžtos Lietuvos Respublikos elektroninių ryšių įstatyme.</w:t>
      </w:r>
    </w:p>
    <w:p>
      <w:pPr>
        <w:rPr>
          <w:sz w:val="20"/>
        </w:rPr>
      </w:pPr>
    </w:p>
    <w:p>
      <w:pPr>
        <w:jc w:val="center"/>
        <w:rPr>
          <w:rFonts w:ascii="Times New Roman Bold" w:hAnsi="Times New Roman Bold"/>
          <w:b/>
          <w:bCs/>
          <w:szCs w:val="24"/>
        </w:rPr>
      </w:pPr>
      <w:r>
        <w:rPr>
          <w:rFonts w:ascii="Times New Roman Bold" w:hAnsi="Times New Roman Bold"/>
          <w:b/>
          <w:bCs/>
          <w:szCs w:val="24"/>
        </w:rPr>
        <w:t>II</w:t>
      </w:r>
      <w:r>
        <w:rPr>
          <w:rFonts w:ascii="Times New Roman Bold" w:hAnsi="Times New Roman Bold"/>
          <w:b/>
          <w:bCs/>
          <w:szCs w:val="24"/>
        </w:rPr>
        <w:t xml:space="preserve">. </w:t>
      </w:r>
      <w:r>
        <w:rPr>
          <w:rFonts w:ascii="Times New Roman Bold" w:hAnsi="Times New Roman Bold"/>
          <w:b/>
          <w:bCs/>
          <w:szCs w:val="24"/>
        </w:rPr>
        <w:t>BENDRIEJI REIKALAVIMAI MATAVIMO ĮRANGAI</w:t>
      </w:r>
    </w:p>
    <w:p>
      <w:pPr>
        <w:rPr>
          <w:sz w:val="10"/>
          <w:szCs w:val="10"/>
        </w:rPr>
      </w:pPr>
    </w:p>
    <w:p>
      <w:pPr>
        <w:ind w:firstLine="170"/>
        <w:jc w:val="both"/>
        <w:rPr>
          <w:szCs w:val="24"/>
        </w:rPr>
      </w:pPr>
      <w:r>
        <w:rPr>
          <w:szCs w:val="24"/>
        </w:rPr>
        <w:t>3</w:t>
      </w:r>
      <w:r>
        <w:rPr>
          <w:szCs w:val="24"/>
        </w:rPr>
        <w:t>. Turi būti periodiškai atliekamas matavimo imtuvų ir antenų kalibravimas (patikra), o tai patvirtinama atitinkamu liudijimu, ir (arba) jie turi būti pažymėti tam tikru žymeniu pagal Lietuvos Respublikos metrologijos įstatymo reikalavimus.</w:t>
      </w:r>
    </w:p>
    <w:p>
      <w:pPr>
        <w:rPr>
          <w:sz w:val="20"/>
        </w:rPr>
      </w:pPr>
    </w:p>
    <w:p>
      <w:pPr>
        <w:jc w:val="center"/>
        <w:rPr>
          <w:rFonts w:ascii="Times New Roman Bold" w:hAnsi="Times New Roman Bold"/>
          <w:b/>
          <w:bCs/>
          <w:szCs w:val="24"/>
        </w:rPr>
      </w:pPr>
      <w:r>
        <w:rPr>
          <w:rFonts w:ascii="Times New Roman Bold" w:hAnsi="Times New Roman Bold"/>
          <w:b/>
          <w:bCs/>
          <w:szCs w:val="24"/>
        </w:rPr>
        <w:t>III</w:t>
      </w:r>
      <w:r>
        <w:rPr>
          <w:rFonts w:ascii="Times New Roman Bold" w:hAnsi="Times New Roman Bold"/>
          <w:b/>
          <w:bCs/>
          <w:szCs w:val="24"/>
        </w:rPr>
        <w:t xml:space="preserve">. </w:t>
      </w:r>
      <w:r>
        <w:rPr>
          <w:rFonts w:ascii="Times New Roman Bold" w:hAnsi="Times New Roman Bold"/>
          <w:b/>
          <w:bCs/>
          <w:szCs w:val="24"/>
        </w:rPr>
        <w:t>BENDRIEJI REIKALAVIMAI ANTENOMS</w:t>
      </w:r>
    </w:p>
    <w:p>
      <w:pPr>
        <w:rPr>
          <w:sz w:val="10"/>
          <w:szCs w:val="10"/>
        </w:rPr>
      </w:pPr>
    </w:p>
    <w:p>
      <w:pPr>
        <w:ind w:firstLine="170"/>
        <w:jc w:val="both"/>
        <w:rPr>
          <w:szCs w:val="24"/>
        </w:rPr>
      </w:pPr>
      <w:r>
        <w:rPr>
          <w:szCs w:val="24"/>
        </w:rPr>
        <w:t>4</w:t>
      </w:r>
      <w:r>
        <w:rPr>
          <w:szCs w:val="24"/>
        </w:rPr>
        <w:t>. Matavimui naudojamos antenos turi atitikti šiuos reikalavimus:</w:t>
      </w:r>
    </w:p>
    <w:p>
      <w:pPr>
        <w:ind w:firstLine="170"/>
        <w:jc w:val="both"/>
        <w:rPr>
          <w:szCs w:val="24"/>
        </w:rPr>
      </w:pPr>
      <w:r>
        <w:rPr>
          <w:szCs w:val="24"/>
        </w:rPr>
        <w:t>4.1</w:t>
      </w:r>
      <w:r>
        <w:rPr>
          <w:szCs w:val="24"/>
        </w:rPr>
        <w:t>. Antenos apkrovos varža turi būti nominali, reali ir lygi matavimo imtuvo įėjimo varžai.</w:t>
      </w:r>
    </w:p>
    <w:p>
      <w:pPr>
        <w:ind w:firstLine="170"/>
        <w:jc w:val="both"/>
        <w:rPr>
          <w:szCs w:val="24"/>
        </w:rPr>
      </w:pPr>
      <w:r>
        <w:rPr>
          <w:szCs w:val="24"/>
        </w:rPr>
        <w:t>4.2</w:t>
      </w:r>
      <w:r>
        <w:rPr>
          <w:szCs w:val="24"/>
        </w:rPr>
        <w:t>. Antenos maitintuvo, jungiančio anteną su matavimo imtuvu, banginė varža turi būti lygi matavimo imtuvo įėjimo varžai.</w:t>
      </w:r>
    </w:p>
    <w:p>
      <w:pPr>
        <w:ind w:firstLine="170"/>
        <w:jc w:val="both"/>
        <w:rPr>
          <w:szCs w:val="24"/>
        </w:rPr>
      </w:pPr>
      <w:r>
        <w:rPr>
          <w:szCs w:val="24"/>
        </w:rPr>
        <w:t>4.3</w:t>
      </w:r>
      <w:r>
        <w:rPr>
          <w:szCs w:val="24"/>
        </w:rPr>
        <w:t>. Antenos faktoriaus kalibravimo paklaida turi būti ne didesnė nei 1 dB.</w:t>
      </w:r>
    </w:p>
    <w:p>
      <w:pPr>
        <w:ind w:firstLine="170"/>
        <w:jc w:val="both"/>
        <w:rPr>
          <w:szCs w:val="24"/>
        </w:rPr>
      </w:pPr>
      <w:r>
        <w:rPr>
          <w:szCs w:val="24"/>
        </w:rPr>
        <w:t>5</w:t>
      </w:r>
      <w:r>
        <w:rPr>
          <w:szCs w:val="24"/>
        </w:rPr>
        <w:t>. Jei naudojama antena, kurios varža yra pilnutinė ir šios varžos reali dalis nėra lygi matavimo imtuvo įėjimo varžai, turi būti įjungta pasyvioji transformuojanti grandinė, kad būtų suderintos pilnutinės varžos tarp antenos ir jos maitintuvo.</w:t>
      </w:r>
    </w:p>
    <w:p>
      <w:pPr>
        <w:ind w:firstLine="170"/>
        <w:jc w:val="both"/>
        <w:rPr>
          <w:szCs w:val="24"/>
        </w:rPr>
      </w:pPr>
      <w:r>
        <w:rPr>
          <w:szCs w:val="24"/>
        </w:rPr>
        <w:t>6</w:t>
      </w:r>
      <w:r>
        <w:rPr>
          <w:szCs w:val="24"/>
        </w:rPr>
        <w:t>. Kryptinės antenos azimutas ir poliarizacija nustatomi pagal didžiausią signalo lygį matavimo imtuvo įėjime. Jei tokiu būdu nustatyta antena nėra nukreipta į radijo bangų siųstuvą, būtina pakeisti stiprio matavimo vietą į tokią, kad nustačius anteną didžiausio priimamo signalo kryptimi, antenos azimutas ir radijo bangų siųstuvo kryptis sutaptų.</w:t>
      </w:r>
    </w:p>
    <w:p>
      <w:pPr>
        <w:ind w:firstLine="170"/>
        <w:jc w:val="both"/>
        <w:rPr>
          <w:szCs w:val="24"/>
        </w:rPr>
      </w:pPr>
      <w:r>
        <w:rPr>
          <w:szCs w:val="24"/>
        </w:rPr>
        <w:t>7</w:t>
      </w:r>
      <w:r>
        <w:rPr>
          <w:szCs w:val="24"/>
        </w:rPr>
        <w:t>. Judriosiose radijo stebėsenos stotyse antenos stiebo pakėlimo variklis ir transporto priemonės variklio degimo sistema turi būti su radijo trikdžių slopinimo įtaisais.</w:t>
      </w:r>
    </w:p>
    <w:p>
      <w:pPr>
        <w:ind w:firstLine="170"/>
        <w:jc w:val="both"/>
        <w:rPr>
          <w:szCs w:val="24"/>
        </w:rPr>
      </w:pPr>
      <w:r>
        <w:rPr>
          <w:szCs w:val="24"/>
        </w:rPr>
        <w:t>8</w:t>
      </w:r>
      <w:r>
        <w:rPr>
          <w:szCs w:val="24"/>
        </w:rPr>
        <w:t>. Jei vietovėje, kurioje turi būti matuojamas stipris, nėra aikštelės, atitinkančios Taisyklių 12 arba 18 punkto reikalavimus, turi būti matuojama ne mažiau nei 3 vietose, atstumas tarp kurių turi būti nuo 3 iki 5 metrų. Stipris nustatomas apskaičiuojant visų matavimo rezultatų aritmetinį vidurkį.</w:t>
      </w:r>
    </w:p>
    <w:p>
      <w:pPr>
        <w:ind w:firstLine="170"/>
        <w:jc w:val="both"/>
        <w:rPr>
          <w:szCs w:val="24"/>
        </w:rPr>
      </w:pPr>
      <w:r>
        <w:rPr>
          <w:szCs w:val="24"/>
        </w:rPr>
        <w:t>9</w:t>
      </w:r>
      <w:r>
        <w:rPr>
          <w:szCs w:val="24"/>
        </w:rPr>
        <w:t>. Matavimo metu privaloma užtikrinti, kad aktyviųjų antenų integruotieji stiprintuvai nepersikrautų nuo radijo signalų.</w:t>
      </w:r>
    </w:p>
    <w:p>
      <w:pPr>
        <w:rPr>
          <w:sz w:val="20"/>
        </w:rPr>
      </w:pPr>
    </w:p>
    <w:p>
      <w:pPr>
        <w:jc w:val="center"/>
        <w:rPr>
          <w:rFonts w:ascii="Times New Roman Bold" w:hAnsi="Times New Roman Bold"/>
          <w:b/>
          <w:bCs/>
          <w:szCs w:val="24"/>
        </w:rPr>
      </w:pPr>
      <w:r>
        <w:rPr>
          <w:rFonts w:ascii="Times New Roman Bold" w:hAnsi="Times New Roman Bold"/>
          <w:b/>
          <w:bCs/>
          <w:szCs w:val="24"/>
        </w:rPr>
        <w:t>IV</w:t>
      </w:r>
      <w:r>
        <w:rPr>
          <w:rFonts w:ascii="Times New Roman Bold" w:hAnsi="Times New Roman Bold"/>
          <w:b/>
          <w:bCs/>
          <w:szCs w:val="24"/>
        </w:rPr>
        <w:t xml:space="preserve">. </w:t>
      </w:r>
      <w:r>
        <w:rPr>
          <w:rFonts w:ascii="Times New Roman Bold" w:hAnsi="Times New Roman Bold"/>
          <w:b/>
          <w:bCs/>
          <w:szCs w:val="24"/>
        </w:rPr>
        <w:t>REIKALAVIMAI ANTENOMS MATUOJANT STIPRĮ RADIJO DAŽNIŲ JUOSTOJE NUO 9 kHz IKI 30 MHz</w:t>
      </w:r>
    </w:p>
    <w:p>
      <w:pPr>
        <w:rPr>
          <w:sz w:val="10"/>
          <w:szCs w:val="10"/>
        </w:rPr>
      </w:pPr>
    </w:p>
    <w:p>
      <w:pPr>
        <w:ind w:firstLine="170"/>
        <w:jc w:val="both"/>
        <w:rPr>
          <w:szCs w:val="24"/>
        </w:rPr>
      </w:pPr>
      <w:r>
        <w:rPr>
          <w:szCs w:val="24"/>
        </w:rPr>
        <w:t>10</w:t>
      </w:r>
      <w:r>
        <w:rPr>
          <w:szCs w:val="24"/>
        </w:rPr>
        <w:t>. Matuojant stiprį radijo dažnių juostoje nuo 9 kHz iki 30 MHz, gali būti naudojama:</w:t>
      </w:r>
    </w:p>
    <w:p>
      <w:pPr>
        <w:ind w:firstLine="170"/>
        <w:jc w:val="both"/>
        <w:rPr>
          <w:szCs w:val="24"/>
        </w:rPr>
      </w:pPr>
      <w:r>
        <w:rPr>
          <w:szCs w:val="24"/>
        </w:rPr>
        <w:t>10.1</w:t>
      </w:r>
      <w:r>
        <w:rPr>
          <w:szCs w:val="24"/>
        </w:rPr>
        <w:t>. kilpinė antena;</w:t>
      </w:r>
    </w:p>
    <w:p>
      <w:pPr>
        <w:ind w:firstLine="170"/>
        <w:jc w:val="both"/>
        <w:rPr>
          <w:szCs w:val="24"/>
        </w:rPr>
      </w:pPr>
      <w:r>
        <w:rPr>
          <w:szCs w:val="24"/>
        </w:rPr>
        <w:t>10.2</w:t>
      </w:r>
      <w:r>
        <w:rPr>
          <w:szCs w:val="24"/>
        </w:rPr>
        <w:t>. vertikalios poliarizacijos antena su kompensuojamąja įžeminimo sistema (angl.</w:t>
      </w:r>
      <w:r>
        <w:rPr>
          <w:i/>
          <w:iCs/>
          <w:szCs w:val="24"/>
        </w:rPr>
        <w:t xml:space="preserve"> counterpoise</w:t>
      </w:r>
      <w:r>
        <w:rPr>
          <w:szCs w:val="24"/>
        </w:rPr>
        <w:t>).</w:t>
      </w:r>
    </w:p>
    <w:p>
      <w:pPr>
        <w:ind w:firstLine="170"/>
        <w:jc w:val="both"/>
        <w:rPr>
          <w:szCs w:val="24"/>
        </w:rPr>
      </w:pPr>
      <w:r>
        <w:rPr>
          <w:szCs w:val="24"/>
        </w:rPr>
        <w:t>11</w:t>
      </w:r>
      <w:r>
        <w:rPr>
          <w:szCs w:val="24"/>
        </w:rPr>
        <w:t>. Antenos ilgis neturi viršyti vienos ketvirtosios radijo bangos ilgio. Kompensuojamoji įžeminimo sistema sudaroma iš radialinių laidininkų, kurių minimalus ilgis lygus dviem radijo bangos ilgiams, o kampas tarp laidininkų neturi viršyti 30 laipsnių, arba iš ekvivalentinių matmenų įžeminimo ekrano.</w:t>
      </w:r>
    </w:p>
    <w:p>
      <w:pPr>
        <w:ind w:firstLine="170"/>
        <w:jc w:val="both"/>
        <w:rPr>
          <w:szCs w:val="24"/>
        </w:rPr>
      </w:pPr>
      <w:r>
        <w:rPr>
          <w:szCs w:val="24"/>
        </w:rPr>
        <w:t>12</w:t>
      </w:r>
      <w:r>
        <w:rPr>
          <w:szCs w:val="24"/>
        </w:rPr>
        <w:t>. Antena įrengiama plokščioje atviroje aikštelėje, kurios skersmuo turi būti ne mažesnis nei 50 metrų, o žemės paviršiaus nuožulnumas turi būti mažesnis nei 2 laipsniai. Kliūtys, esančios už aikštelės ribų, negali būti iškilusios virš žemės paviršiaus didesniu nei 4 laipsnių kampu.</w:t>
      </w:r>
    </w:p>
    <w:p>
      <w:pPr>
        <w:rPr>
          <w:sz w:val="20"/>
        </w:rPr>
      </w:pPr>
    </w:p>
    <w:p>
      <w:pPr>
        <w:jc w:val="center"/>
        <w:rPr>
          <w:rFonts w:ascii="Times New Roman Bold" w:hAnsi="Times New Roman Bold"/>
          <w:b/>
          <w:bCs/>
          <w:szCs w:val="24"/>
        </w:rPr>
      </w:pPr>
      <w:r>
        <w:rPr>
          <w:rFonts w:ascii="Times New Roman Bold" w:hAnsi="Times New Roman Bold"/>
          <w:b/>
          <w:bCs/>
          <w:szCs w:val="24"/>
        </w:rPr>
        <w:t>V</w:t>
      </w:r>
      <w:r>
        <w:rPr>
          <w:rFonts w:ascii="Times New Roman Bold" w:hAnsi="Times New Roman Bold"/>
          <w:b/>
          <w:bCs/>
          <w:szCs w:val="24"/>
        </w:rPr>
        <w:t xml:space="preserve">. </w:t>
      </w:r>
      <w:r>
        <w:rPr>
          <w:rFonts w:ascii="Times New Roman Bold" w:hAnsi="Times New Roman Bold"/>
          <w:b/>
          <w:bCs/>
          <w:szCs w:val="24"/>
        </w:rPr>
        <w:t>REIKALAVIMAI ANTENOMS MATUOJANT STIPRĮ RADIJO DAŽNIŲ JUOSTOJE NUO 30 MHz IKI 1000 MHz</w:t>
      </w:r>
    </w:p>
    <w:p>
      <w:pPr>
        <w:rPr>
          <w:sz w:val="10"/>
          <w:szCs w:val="10"/>
        </w:rPr>
      </w:pPr>
    </w:p>
    <w:p>
      <w:pPr>
        <w:ind w:firstLine="170"/>
        <w:jc w:val="both"/>
        <w:rPr>
          <w:szCs w:val="24"/>
        </w:rPr>
      </w:pPr>
      <w:r>
        <w:rPr>
          <w:szCs w:val="24"/>
        </w:rPr>
        <w:t>13</w:t>
      </w:r>
      <w:r>
        <w:rPr>
          <w:szCs w:val="24"/>
        </w:rPr>
        <w:t>. Matuojant stiprį radijo dažnių juostoje nuo 30 MHz iki 1000 MHz, gali būti naudojami:</w:t>
      </w:r>
    </w:p>
    <w:p>
      <w:pPr>
        <w:ind w:firstLine="170"/>
        <w:jc w:val="both"/>
        <w:rPr>
          <w:szCs w:val="24"/>
        </w:rPr>
      </w:pPr>
      <w:r>
        <w:rPr>
          <w:szCs w:val="24"/>
        </w:rPr>
        <w:t>13.1</w:t>
      </w:r>
      <w:r>
        <w:rPr>
          <w:szCs w:val="24"/>
        </w:rPr>
        <w:t>. plačiajuostis simetrinis dipolis;</w:t>
      </w:r>
    </w:p>
    <w:p>
      <w:pPr>
        <w:ind w:firstLine="170"/>
        <w:jc w:val="both"/>
        <w:rPr>
          <w:szCs w:val="24"/>
        </w:rPr>
      </w:pPr>
      <w:r>
        <w:rPr>
          <w:szCs w:val="24"/>
        </w:rPr>
        <w:t>13.2</w:t>
      </w:r>
      <w:r>
        <w:rPr>
          <w:szCs w:val="24"/>
        </w:rPr>
        <w:t>. dvikūgis dipolis;</w:t>
      </w:r>
    </w:p>
    <w:p>
      <w:pPr>
        <w:ind w:firstLine="170"/>
        <w:jc w:val="both"/>
        <w:rPr>
          <w:szCs w:val="24"/>
        </w:rPr>
      </w:pPr>
      <w:r>
        <w:rPr>
          <w:szCs w:val="24"/>
        </w:rPr>
        <w:t>13.3</w:t>
      </w:r>
      <w:r>
        <w:rPr>
          <w:szCs w:val="24"/>
        </w:rPr>
        <w:t>. simetrinis dipolis su kampiniu arba paraboliniu reflektoriumi;</w:t>
      </w:r>
    </w:p>
    <w:p>
      <w:pPr>
        <w:ind w:firstLine="170"/>
        <w:jc w:val="both"/>
        <w:rPr>
          <w:szCs w:val="24"/>
        </w:rPr>
      </w:pPr>
      <w:r>
        <w:rPr>
          <w:szCs w:val="24"/>
        </w:rPr>
        <w:t>13.4</w:t>
      </w:r>
      <w:r>
        <w:rPr>
          <w:szCs w:val="24"/>
        </w:rPr>
        <w:t>. logoperiodinė antena.</w:t>
      </w:r>
    </w:p>
    <w:p>
      <w:pPr>
        <w:ind w:firstLine="170"/>
        <w:jc w:val="both"/>
        <w:rPr>
          <w:szCs w:val="24"/>
        </w:rPr>
      </w:pPr>
      <w:r>
        <w:rPr>
          <w:szCs w:val="24"/>
        </w:rPr>
        <w:t>14</w:t>
      </w:r>
      <w:r>
        <w:rPr>
          <w:szCs w:val="24"/>
        </w:rPr>
        <w:t>. Antenos poliarizacija turi sutapti su matuojamo elektromagnetinio lauko poliarizacija.</w:t>
      </w:r>
    </w:p>
    <w:p>
      <w:pPr>
        <w:ind w:firstLine="170"/>
        <w:jc w:val="both"/>
        <w:rPr>
          <w:szCs w:val="24"/>
        </w:rPr>
      </w:pPr>
      <w:r>
        <w:rPr>
          <w:szCs w:val="24"/>
        </w:rPr>
        <w:t>15</w:t>
      </w:r>
      <w:r>
        <w:rPr>
          <w:szCs w:val="24"/>
        </w:rPr>
        <w:t>. Matuojant vertikalios poliarizacijos elektromagnetinį lauką, antenos stiebo viršutinė dalis turi būti pagaminta iš dielektrinės medžiagos, o jos ilgis turi būti ne mažesnis kaip:</w:t>
      </w:r>
    </w:p>
    <w:p>
      <w:pPr>
        <w:ind w:firstLine="170"/>
        <w:jc w:val="both"/>
        <w:rPr>
          <w:szCs w:val="24"/>
        </w:rPr>
      </w:pPr>
      <w:r>
        <w:rPr>
          <w:szCs w:val="24"/>
        </w:rPr>
        <w:t>15.1</w:t>
      </w:r>
      <w:r>
        <w:rPr>
          <w:szCs w:val="24"/>
        </w:rPr>
        <w:t>. 3 metrai, jei matuojamas stipris radijo dažnių juostoje nuo 30 MHz iki 87,5 MHz;</w:t>
      </w:r>
    </w:p>
    <w:p>
      <w:pPr>
        <w:ind w:firstLine="170"/>
        <w:jc w:val="both"/>
        <w:rPr>
          <w:szCs w:val="24"/>
        </w:rPr>
      </w:pPr>
      <w:r>
        <w:rPr>
          <w:szCs w:val="24"/>
        </w:rPr>
        <w:t>15.2</w:t>
      </w:r>
      <w:r>
        <w:rPr>
          <w:szCs w:val="24"/>
        </w:rPr>
        <w:t>. 1 metras, jei matuojamas stipris radijo dažnių juostoje nuo 87,5 MHz iki 300 MHz;</w:t>
      </w:r>
    </w:p>
    <w:p>
      <w:pPr>
        <w:ind w:firstLine="170"/>
        <w:jc w:val="both"/>
        <w:rPr>
          <w:szCs w:val="24"/>
        </w:rPr>
      </w:pPr>
      <w:r>
        <w:rPr>
          <w:szCs w:val="24"/>
        </w:rPr>
        <w:t>15.3</w:t>
      </w:r>
      <w:r>
        <w:rPr>
          <w:szCs w:val="24"/>
        </w:rPr>
        <w:t>. 0,5 metro, jei matuojamas stipris radijo dažnių juostoje nuo 300 MHz iki 1000 GHz.</w:t>
      </w:r>
    </w:p>
    <w:p>
      <w:pPr>
        <w:ind w:firstLine="170"/>
        <w:jc w:val="both"/>
        <w:rPr>
          <w:szCs w:val="24"/>
        </w:rPr>
      </w:pPr>
      <w:r>
        <w:rPr>
          <w:szCs w:val="24"/>
        </w:rPr>
        <w:t>16</w:t>
      </w:r>
      <w:r>
        <w:rPr>
          <w:szCs w:val="24"/>
        </w:rPr>
        <w:t>. Jei teisės aktuose nenurodyta kitaip, matuojant stiprį judriosiose radijo stebėsenos stotyse, antena iškeliama į 10 m aukštį virš žemės paviršiaus.</w:t>
      </w:r>
    </w:p>
    <w:p>
      <w:pPr>
        <w:ind w:firstLine="170"/>
        <w:jc w:val="both"/>
        <w:rPr>
          <w:szCs w:val="24"/>
        </w:rPr>
      </w:pPr>
      <w:r>
        <w:rPr>
          <w:szCs w:val="24"/>
        </w:rPr>
        <w:t>17</w:t>
      </w:r>
      <w:r>
        <w:rPr>
          <w:szCs w:val="24"/>
        </w:rPr>
        <w:t>. Matavimo antenos ir matuojamo siųstuvo antenos poliarizacija turi sutapti.</w:t>
      </w:r>
    </w:p>
    <w:p>
      <w:pPr>
        <w:ind w:firstLine="170"/>
        <w:jc w:val="both"/>
        <w:rPr>
          <w:szCs w:val="24"/>
        </w:rPr>
      </w:pPr>
      <w:r>
        <w:rPr>
          <w:szCs w:val="24"/>
        </w:rPr>
        <w:t>18</w:t>
      </w:r>
      <w:r>
        <w:rPr>
          <w:szCs w:val="24"/>
        </w:rPr>
        <w:t>. Antena turi būti įrengiama atviroje aikštelėje, didžiausiu įmanomu atstumu nuo už aikštelės ribų esančių statinių, metalinių konstrukcijų ir kitų radijo bangas užstojančių arba atspindinčių objektų, kad šie objektai neturėtų įtakos matuojamo elektromagnetinio lauko parametrams.</w:t>
      </w:r>
    </w:p>
    <w:p>
      <w:pPr>
        <w:rPr>
          <w:sz w:val="20"/>
        </w:rPr>
      </w:pPr>
    </w:p>
    <w:p>
      <w:pPr>
        <w:jc w:val="center"/>
        <w:rPr>
          <w:rFonts w:ascii="Times New Roman Bold" w:hAnsi="Times New Roman Bold"/>
          <w:b/>
          <w:bCs/>
          <w:szCs w:val="24"/>
        </w:rPr>
      </w:pPr>
      <w:r>
        <w:rPr>
          <w:rFonts w:ascii="Times New Roman Bold" w:hAnsi="Times New Roman Bold"/>
          <w:b/>
          <w:bCs/>
          <w:szCs w:val="24"/>
        </w:rPr>
        <w:t>VI</w:t>
      </w:r>
      <w:r>
        <w:rPr>
          <w:rFonts w:ascii="Times New Roman Bold" w:hAnsi="Times New Roman Bold"/>
          <w:b/>
          <w:bCs/>
          <w:szCs w:val="24"/>
        </w:rPr>
        <w:t xml:space="preserve">. </w:t>
      </w:r>
      <w:r>
        <w:rPr>
          <w:rFonts w:ascii="Times New Roman Bold" w:hAnsi="Times New Roman Bold"/>
          <w:b/>
          <w:bCs/>
          <w:szCs w:val="24"/>
        </w:rPr>
        <w:t>REIKALAVIMAI ANTENOMS MATUOJANT STIPRĮ RADIJO DAŽNIŲ JUOSTOJE NUO 1000 MHz IKI 40 GHz</w:t>
      </w:r>
    </w:p>
    <w:p>
      <w:pPr>
        <w:rPr>
          <w:sz w:val="10"/>
          <w:szCs w:val="10"/>
        </w:rPr>
      </w:pPr>
    </w:p>
    <w:p>
      <w:pPr>
        <w:ind w:firstLine="170"/>
        <w:jc w:val="both"/>
        <w:rPr>
          <w:szCs w:val="24"/>
        </w:rPr>
      </w:pPr>
      <w:r>
        <w:rPr>
          <w:szCs w:val="24"/>
        </w:rPr>
        <w:t>19</w:t>
      </w:r>
      <w:r>
        <w:rPr>
          <w:szCs w:val="24"/>
        </w:rPr>
        <w:t>. Matuojant stiprį radijo dažnių juostoje nuo 1000 MHz</w:t>
      </w:r>
      <w:r>
        <w:rPr>
          <w:b/>
          <w:bCs/>
          <w:szCs w:val="24"/>
        </w:rPr>
        <w:t xml:space="preserve"> </w:t>
      </w:r>
      <w:r>
        <w:rPr>
          <w:bCs/>
          <w:szCs w:val="24"/>
        </w:rPr>
        <w:t xml:space="preserve">iki 40 GHz, gali būti </w:t>
      </w:r>
      <w:r>
        <w:rPr>
          <w:szCs w:val="24"/>
        </w:rPr>
        <w:t>naudojama:</w:t>
      </w:r>
    </w:p>
    <w:p>
      <w:pPr>
        <w:ind w:firstLine="170"/>
        <w:jc w:val="both"/>
        <w:rPr>
          <w:szCs w:val="24"/>
        </w:rPr>
      </w:pPr>
      <w:r>
        <w:rPr>
          <w:szCs w:val="24"/>
        </w:rPr>
        <w:t>19.1</w:t>
      </w:r>
      <w:r>
        <w:rPr>
          <w:szCs w:val="24"/>
        </w:rPr>
        <w:t>. logoperiodinė antena;</w:t>
      </w:r>
    </w:p>
    <w:p>
      <w:pPr>
        <w:ind w:firstLine="170"/>
        <w:jc w:val="both"/>
        <w:rPr>
          <w:szCs w:val="24"/>
        </w:rPr>
      </w:pPr>
      <w:r>
        <w:rPr>
          <w:szCs w:val="24"/>
        </w:rPr>
        <w:t>19.2</w:t>
      </w:r>
      <w:r>
        <w:rPr>
          <w:szCs w:val="24"/>
        </w:rPr>
        <w:t>. antena su paraboliniu reflektoriumi;</w:t>
      </w:r>
    </w:p>
    <w:p>
      <w:pPr>
        <w:ind w:firstLine="170"/>
        <w:jc w:val="both"/>
        <w:rPr>
          <w:szCs w:val="24"/>
        </w:rPr>
      </w:pPr>
      <w:r>
        <w:rPr>
          <w:szCs w:val="24"/>
        </w:rPr>
        <w:t>19.3</w:t>
      </w:r>
      <w:r>
        <w:rPr>
          <w:szCs w:val="24"/>
        </w:rPr>
        <w:t>. ruporinė antena.</w:t>
      </w:r>
    </w:p>
    <w:p>
      <w:pPr>
        <w:ind w:firstLine="170"/>
        <w:jc w:val="both"/>
        <w:rPr>
          <w:szCs w:val="24"/>
        </w:rPr>
      </w:pPr>
      <w:r>
        <w:rPr>
          <w:szCs w:val="24"/>
        </w:rPr>
        <w:t>20</w:t>
      </w:r>
      <w:r>
        <w:rPr>
          <w:szCs w:val="24"/>
        </w:rPr>
        <w:t>. Antenos poliarizacija turi sutapti su matuojamo elektromagnetinio lauko poliarizacija.</w:t>
      </w:r>
    </w:p>
    <w:p>
      <w:pPr>
        <w:rPr>
          <w:sz w:val="20"/>
        </w:rPr>
      </w:pPr>
    </w:p>
    <w:p>
      <w:pPr>
        <w:jc w:val="center"/>
        <w:rPr>
          <w:rFonts w:ascii="Times New Roman Bold" w:hAnsi="Times New Roman Bold"/>
          <w:b/>
          <w:bCs/>
          <w:szCs w:val="24"/>
        </w:rPr>
      </w:pPr>
      <w:r>
        <w:rPr>
          <w:rFonts w:ascii="Times New Roman Bold" w:hAnsi="Times New Roman Bold"/>
          <w:b/>
          <w:bCs/>
          <w:szCs w:val="24"/>
        </w:rPr>
        <w:t>VII</w:t>
      </w:r>
      <w:r>
        <w:rPr>
          <w:rFonts w:ascii="Times New Roman Bold" w:hAnsi="Times New Roman Bold"/>
          <w:b/>
          <w:bCs/>
          <w:szCs w:val="24"/>
        </w:rPr>
        <w:t xml:space="preserve">. </w:t>
      </w:r>
      <w:r>
        <w:rPr>
          <w:b/>
          <w:bCs/>
          <w:caps/>
          <w:szCs w:val="24"/>
        </w:rPr>
        <w:t>MATAVIMO IMTUVAI</w:t>
      </w:r>
    </w:p>
    <w:p>
      <w:pPr>
        <w:rPr>
          <w:sz w:val="10"/>
          <w:szCs w:val="10"/>
        </w:rPr>
      </w:pPr>
    </w:p>
    <w:p>
      <w:pPr>
        <w:ind w:firstLine="170"/>
        <w:jc w:val="both"/>
        <w:rPr>
          <w:szCs w:val="24"/>
        </w:rPr>
      </w:pPr>
      <w:r>
        <w:rPr>
          <w:szCs w:val="24"/>
        </w:rPr>
        <w:t>21</w:t>
      </w:r>
      <w:r>
        <w:rPr>
          <w:szCs w:val="24"/>
        </w:rPr>
        <w:t>. Matavimo imtuvo signalo lygio matavimo paklaida turi būti ne didesnė nei:</w:t>
      </w:r>
    </w:p>
    <w:p>
      <w:pPr>
        <w:ind w:firstLine="170"/>
        <w:jc w:val="both"/>
        <w:rPr>
          <w:szCs w:val="24"/>
        </w:rPr>
      </w:pPr>
      <w:r>
        <w:rPr>
          <w:szCs w:val="24"/>
        </w:rPr>
        <w:t>21.1</w:t>
      </w:r>
      <w:r>
        <w:rPr>
          <w:szCs w:val="24"/>
        </w:rPr>
        <w:t>. 1 dB, jei matuojama radijo dažnių juostoje nuo 9 kHz iki 30 MHz;</w:t>
      </w:r>
    </w:p>
    <w:p>
      <w:pPr>
        <w:ind w:firstLine="170"/>
        <w:jc w:val="both"/>
        <w:rPr>
          <w:szCs w:val="24"/>
        </w:rPr>
      </w:pPr>
      <w:r>
        <w:rPr>
          <w:szCs w:val="24"/>
        </w:rPr>
        <w:t>21.2</w:t>
      </w:r>
      <w:r>
        <w:rPr>
          <w:szCs w:val="24"/>
        </w:rPr>
        <w:t>. 1,5 dB, jei matuojama radijo dažnių juostoje nuo 30 MHz iki 40 GHz.</w:t>
      </w:r>
    </w:p>
    <w:p>
      <w:pPr>
        <w:ind w:firstLine="170"/>
        <w:jc w:val="both"/>
        <w:rPr>
          <w:szCs w:val="24"/>
        </w:rPr>
      </w:pPr>
      <w:r>
        <w:rPr>
          <w:szCs w:val="24"/>
        </w:rPr>
        <w:t>22</w:t>
      </w:r>
      <w:r>
        <w:rPr>
          <w:szCs w:val="24"/>
        </w:rPr>
        <w:t>. Matavimo imtuvu matuojamos radijo dažnių juostos plotis turi būti ne mažesnis nei matuojamo radijo signalo spektras. Matavimo imtuvo juostos plotis ir detektoriaus funkcijos nustatomos pagal Taisyklių 1 priedo reikalavimus.</w:t>
      </w:r>
    </w:p>
    <w:p>
      <w:pPr>
        <w:ind w:firstLine="170"/>
        <w:jc w:val="both"/>
        <w:rPr>
          <w:szCs w:val="24"/>
        </w:rPr>
      </w:pPr>
      <w:r>
        <w:rPr>
          <w:szCs w:val="24"/>
        </w:rPr>
        <w:t>23</w:t>
      </w:r>
      <w:r>
        <w:rPr>
          <w:szCs w:val="24"/>
        </w:rPr>
        <w:t xml:space="preserve">. Stipris </w:t>
      </w:r>
      <w:r>
        <w:rPr>
          <w:i/>
          <w:szCs w:val="24"/>
        </w:rPr>
        <w:t>E</w:t>
      </w:r>
      <w:r>
        <w:rPr>
          <w:szCs w:val="24"/>
        </w:rPr>
        <w:t>, dB (</w:t>
      </w:r>
      <w:r>
        <w:rPr>
          <w:rFonts w:ascii="Symbol" w:hAnsi="Symbol"/>
          <w:szCs w:val="24"/>
        </w:rPr>
        <w:t></w:t>
      </w:r>
      <w:r>
        <w:rPr>
          <w:szCs w:val="24"/>
        </w:rPr>
        <w:t>V/m), apskaičiuojamas pagal formulę:</w:t>
      </w:r>
    </w:p>
    <w:p>
      <w:pPr>
        <w:rPr>
          <w:sz w:val="10"/>
          <w:szCs w:val="10"/>
        </w:rPr>
      </w:pPr>
    </w:p>
    <w:p>
      <w:pPr>
        <w:jc w:val="center"/>
        <w:rPr>
          <w:b/>
          <w:bCs/>
          <w:i/>
          <w:szCs w:val="24"/>
        </w:rPr>
      </w:pPr>
      <w:r>
        <w:rPr>
          <w:i/>
          <w:szCs w:val="24"/>
        </w:rPr>
        <w:t>E = U</w:t>
      </w:r>
      <w:r>
        <w:rPr>
          <w:i/>
          <w:position w:val="-6"/>
          <w:szCs w:val="24"/>
        </w:rPr>
        <w:t>r</w:t>
      </w:r>
      <w:r>
        <w:rPr>
          <w:i/>
          <w:szCs w:val="24"/>
        </w:rPr>
        <w:t xml:space="preserve"> + K</w:t>
      </w:r>
      <w:r>
        <w:rPr>
          <w:i/>
          <w:position w:val="-6"/>
          <w:szCs w:val="24"/>
        </w:rPr>
        <w:t>e</w:t>
      </w:r>
      <w:r>
        <w:rPr>
          <w:i/>
          <w:szCs w:val="24"/>
        </w:rPr>
        <w:t xml:space="preserve"> + </w:t>
      </w:r>
      <w:r>
        <w:rPr>
          <w:rFonts w:ascii="Symbol" w:hAnsi="Symbol"/>
          <w:i/>
          <w:szCs w:val="24"/>
        </w:rPr>
        <w:t></w:t>
      </w:r>
      <w:r>
        <w:rPr>
          <w:i/>
          <w:position w:val="-6"/>
          <w:szCs w:val="24"/>
        </w:rPr>
        <w:t>c</w:t>
      </w:r>
      <w:r>
        <w:rPr>
          <w:i/>
          <w:szCs w:val="24"/>
        </w:rPr>
        <w:t xml:space="preserve"> ;</w:t>
      </w:r>
    </w:p>
    <w:p>
      <w:pPr>
        <w:rPr>
          <w:sz w:val="10"/>
          <w:szCs w:val="10"/>
        </w:rPr>
      </w:pPr>
    </w:p>
    <w:p>
      <w:pPr>
        <w:ind w:firstLine="720"/>
        <w:jc w:val="both"/>
        <w:rPr>
          <w:szCs w:val="24"/>
        </w:rPr>
      </w:pPr>
      <w:r>
        <w:rPr>
          <w:szCs w:val="24"/>
        </w:rPr>
        <w:t>čia:</w:t>
      </w:r>
    </w:p>
    <w:p>
      <w:pPr>
        <w:ind w:firstLine="720"/>
        <w:jc w:val="both"/>
        <w:rPr>
          <w:szCs w:val="24"/>
        </w:rPr>
      </w:pPr>
      <w:r>
        <w:rPr>
          <w:szCs w:val="24"/>
        </w:rPr>
        <w:t>U</w:t>
      </w:r>
      <w:r>
        <w:rPr>
          <w:position w:val="-6"/>
          <w:szCs w:val="24"/>
        </w:rPr>
        <w:t>r</w:t>
      </w:r>
      <w:r>
        <w:rPr>
          <w:i/>
          <w:position w:val="-6"/>
          <w:szCs w:val="24"/>
        </w:rPr>
        <w:t xml:space="preserve"> </w:t>
      </w:r>
      <w:r>
        <w:rPr>
          <w:szCs w:val="24"/>
        </w:rPr>
        <w:t>– įtampa matavimo imtuvo įėjimo gnybtuose, dB (</w:t>
      </w:r>
      <w:r>
        <w:rPr>
          <w:rFonts w:ascii="Symbol" w:hAnsi="Symbol"/>
          <w:szCs w:val="24"/>
        </w:rPr>
        <w:t></w:t>
      </w:r>
      <w:r>
        <w:rPr>
          <w:szCs w:val="24"/>
        </w:rPr>
        <w:t>V);</w:t>
      </w:r>
    </w:p>
    <w:p>
      <w:pPr>
        <w:ind w:firstLine="720"/>
        <w:jc w:val="both"/>
        <w:rPr>
          <w:szCs w:val="24"/>
        </w:rPr>
      </w:pPr>
      <w:r>
        <w:rPr>
          <w:szCs w:val="24"/>
        </w:rPr>
        <w:t>K</w:t>
      </w:r>
      <w:r>
        <w:rPr>
          <w:position w:val="-6"/>
          <w:szCs w:val="24"/>
        </w:rPr>
        <w:t xml:space="preserve">e </w:t>
      </w:r>
      <w:r>
        <w:rPr>
          <w:szCs w:val="24"/>
        </w:rPr>
        <w:t>– antenos faktorius, dB m</w:t>
      </w:r>
      <w:r>
        <w:rPr>
          <w:szCs w:val="24"/>
          <w:vertAlign w:val="superscript"/>
        </w:rPr>
        <w:t>–1</w:t>
      </w:r>
      <w:r>
        <w:rPr>
          <w:szCs w:val="24"/>
        </w:rPr>
        <w:t>;</w:t>
      </w:r>
    </w:p>
    <w:p>
      <w:pPr>
        <w:ind w:firstLine="312"/>
        <w:jc w:val="both"/>
        <w:rPr>
          <w:szCs w:val="24"/>
        </w:rPr>
      </w:pPr>
      <w:r>
        <w:rPr>
          <w:rFonts w:ascii="Symbol" w:hAnsi="Symbol"/>
          <w:szCs w:val="24"/>
        </w:rPr>
        <w:t></w:t>
      </w:r>
      <w:r>
        <w:rPr>
          <w:position w:val="-6"/>
          <w:szCs w:val="24"/>
        </w:rPr>
        <w:t>c</w:t>
      </w:r>
      <w:r>
        <w:rPr>
          <w:szCs w:val="24"/>
        </w:rPr>
        <w:t xml:space="preserve"> – antenos maitintuvo ir transformuojančios grandinės nuostolių suma, dB.</w:t>
      </w:r>
    </w:p>
    <w:p>
      <w:pPr>
        <w:rPr>
          <w:sz w:val="20"/>
        </w:rPr>
      </w:pPr>
    </w:p>
    <w:p>
      <w:pPr>
        <w:jc w:val="center"/>
        <w:rPr>
          <w:rFonts w:ascii="Times New Roman Bold" w:hAnsi="Times New Roman Bold"/>
          <w:b/>
          <w:bCs/>
          <w:szCs w:val="24"/>
        </w:rPr>
      </w:pPr>
      <w:r>
        <w:rPr>
          <w:rFonts w:ascii="Times New Roman Bold" w:hAnsi="Times New Roman Bold"/>
          <w:b/>
          <w:bCs/>
          <w:szCs w:val="24"/>
        </w:rPr>
        <w:t>VIII</w:t>
      </w:r>
      <w:r>
        <w:rPr>
          <w:rFonts w:ascii="Times New Roman Bold" w:hAnsi="Times New Roman Bold"/>
          <w:b/>
          <w:bCs/>
          <w:szCs w:val="24"/>
        </w:rPr>
        <w:t xml:space="preserve">. </w:t>
      </w:r>
      <w:r>
        <w:rPr>
          <w:b/>
          <w:bCs/>
          <w:caps/>
          <w:szCs w:val="24"/>
        </w:rPr>
        <w:t>MATAVIMO paklaidos</w:t>
      </w:r>
    </w:p>
    <w:p>
      <w:pPr>
        <w:rPr>
          <w:sz w:val="10"/>
          <w:szCs w:val="10"/>
        </w:rPr>
      </w:pPr>
    </w:p>
    <w:p>
      <w:pPr>
        <w:ind w:firstLine="170"/>
        <w:jc w:val="both"/>
        <w:rPr>
          <w:szCs w:val="24"/>
        </w:rPr>
      </w:pPr>
      <w:r>
        <w:rPr>
          <w:szCs w:val="24"/>
        </w:rPr>
        <w:t>24</w:t>
      </w:r>
      <w:r>
        <w:rPr>
          <w:szCs w:val="24"/>
        </w:rPr>
        <w:t>. Stiprio matavimo paklaida, jei matavimo tikslumo neriboja matavimo imtuvo vidiniai triukšmai, radijo eterio triukšmai arba išoriniai radijo trikdžiai, neturi viršyti:</w:t>
      </w:r>
    </w:p>
    <w:p>
      <w:pPr>
        <w:ind w:firstLine="170"/>
        <w:jc w:val="both"/>
        <w:rPr>
          <w:szCs w:val="24"/>
        </w:rPr>
      </w:pPr>
      <w:r>
        <w:rPr>
          <w:szCs w:val="24"/>
        </w:rPr>
        <w:t>24.1</w:t>
      </w:r>
      <w:r>
        <w:rPr>
          <w:szCs w:val="24"/>
        </w:rPr>
        <w:t>. 2 dB, jei matuojama radijo dažnių juostoje nuo 9 kHz iki 30 MHz;</w:t>
      </w:r>
    </w:p>
    <w:p>
      <w:pPr>
        <w:ind w:firstLine="170"/>
        <w:jc w:val="both"/>
        <w:rPr>
          <w:szCs w:val="24"/>
        </w:rPr>
      </w:pPr>
      <w:r>
        <w:rPr>
          <w:szCs w:val="24"/>
        </w:rPr>
        <w:t>24.2</w:t>
      </w:r>
      <w:r>
        <w:rPr>
          <w:szCs w:val="24"/>
        </w:rPr>
        <w:t>. 3 dB, jei matuojama radijo dažnių juostoje nuo 30 MHz iki 3 GHz;</w:t>
      </w:r>
    </w:p>
    <w:p>
      <w:pPr>
        <w:ind w:firstLine="170"/>
        <w:jc w:val="both"/>
        <w:rPr>
          <w:szCs w:val="24"/>
        </w:rPr>
      </w:pPr>
      <w:r>
        <w:rPr>
          <w:szCs w:val="24"/>
        </w:rPr>
        <w:t>24.3</w:t>
      </w:r>
      <w:r>
        <w:rPr>
          <w:szCs w:val="24"/>
        </w:rPr>
        <w:t>. 4 dB, jei matuojama radijo dažnių juostoje nuo 3 GHz iki 40 GHz.</w:t>
      </w:r>
    </w:p>
    <w:p>
      <w:pPr>
        <w:ind w:firstLine="170"/>
        <w:jc w:val="both"/>
        <w:rPr>
          <w:szCs w:val="24"/>
        </w:rPr>
      </w:pPr>
      <w:r>
        <w:rPr>
          <w:szCs w:val="24"/>
        </w:rPr>
        <w:t>25</w:t>
      </w:r>
      <w:r>
        <w:rPr>
          <w:szCs w:val="24"/>
        </w:rPr>
        <w:t>. Stiprio matavimo paklaida Δ</w:t>
      </w:r>
      <w:r>
        <w:rPr>
          <w:szCs w:val="24"/>
          <w:vertAlign w:val="subscript"/>
        </w:rPr>
        <w:t>E</w:t>
      </w:r>
      <w:r>
        <w:rPr>
          <w:szCs w:val="24"/>
        </w:rPr>
        <w:t>, dB, skaičiuojama pagal formulę:</w:t>
      </w:r>
    </w:p>
    <w:p>
      <w:pPr>
        <w:rPr>
          <w:sz w:val="20"/>
        </w:rPr>
      </w:pPr>
    </w:p>
    <w:p>
      <w:pPr>
        <w:ind w:firstLine="437"/>
        <w:jc w:val="center"/>
        <w:rPr>
          <w:szCs w:val="24"/>
        </w:rPr>
      </w:pPr>
      <w:r>
        <w:rPr>
          <w:position w:val="-10"/>
          <w:szCs w:val="24"/>
        </w:rPr>
        <w:object w:dxaOrig="180" w:dyaOrig="340" w14:anchorId="58368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8pt;height:17.6pt" o:ole="">
            <v:imagedata r:id="rId16" o:title=""/>
          </v:shape>
          <o:OLEObject Type="Embed" ProgID="Equation.3" ShapeID="_x0000_i1035" DrawAspect="Content" ObjectID="_1526819681" r:id="rId17"/>
        </w:object>
      </w:r>
      <w:r>
        <w:rPr>
          <w:position w:val="-12"/>
          <w:szCs w:val="24"/>
        </w:rPr>
        <w:object w:dxaOrig="5380" w:dyaOrig="600" w14:anchorId="3EBFC9B4">
          <v:shape id="_x0000_i1036" type="#_x0000_t75" style="width:321.6pt;height:36pt" o:ole="">
            <v:imagedata r:id="rId18" o:title=""/>
          </v:shape>
          <o:OLEObject Type="Embed" ProgID="Equation.3" ShapeID="_x0000_i1036" DrawAspect="Content" ObjectID="_1526819682" r:id="rId19"/>
        </w:object>
      </w:r>
      <w:r>
        <w:rPr>
          <w:szCs w:val="24"/>
        </w:rPr>
        <w:t>;</w:t>
      </w:r>
    </w:p>
    <w:p>
      <w:pPr>
        <w:rPr>
          <w:sz w:val="10"/>
          <w:szCs w:val="10"/>
        </w:rPr>
      </w:pPr>
    </w:p>
    <w:p>
      <w:pPr>
        <w:ind w:left="567" w:firstLine="437"/>
        <w:jc w:val="both"/>
        <w:rPr>
          <w:szCs w:val="24"/>
        </w:rPr>
      </w:pPr>
      <w:r>
        <w:rPr>
          <w:szCs w:val="24"/>
        </w:rPr>
        <w:t>čia:</w:t>
      </w:r>
    </w:p>
    <w:p>
      <w:pPr>
        <w:ind w:left="568" w:firstLine="436"/>
        <w:jc w:val="both"/>
        <w:rPr>
          <w:szCs w:val="24"/>
        </w:rPr>
      </w:pPr>
      <w:r>
        <w:rPr>
          <w:szCs w:val="24"/>
          <w:lang w:val="en-US"/>
        </w:rPr>
        <w:t>Δ</w:t>
      </w:r>
      <w:r>
        <w:rPr>
          <w:szCs w:val="24"/>
          <w:vertAlign w:val="subscript"/>
        </w:rPr>
        <w:t>ant</w:t>
      </w:r>
      <w:r>
        <w:rPr>
          <w:szCs w:val="24"/>
        </w:rPr>
        <w:t xml:space="preserve"> – antenos </w:t>
      </w:r>
      <w:r>
        <w:rPr>
          <w:bCs/>
          <w:szCs w:val="24"/>
        </w:rPr>
        <w:t xml:space="preserve">faktoriaus </w:t>
      </w:r>
      <w:r>
        <w:rPr>
          <w:szCs w:val="24"/>
        </w:rPr>
        <w:t>kalibravimo paklaida, dB;</w:t>
      </w:r>
    </w:p>
    <w:p>
      <w:pPr>
        <w:ind w:left="720" w:firstLine="284"/>
        <w:jc w:val="both"/>
        <w:rPr>
          <w:szCs w:val="24"/>
        </w:rPr>
      </w:pPr>
      <w:r>
        <w:rPr>
          <w:szCs w:val="24"/>
          <w:lang w:val="en-US"/>
        </w:rPr>
        <w:t>Δ</w:t>
      </w:r>
      <w:r>
        <w:rPr>
          <w:szCs w:val="24"/>
          <w:vertAlign w:val="subscript"/>
        </w:rPr>
        <w:t>lin</w:t>
      </w:r>
      <w:r>
        <w:rPr>
          <w:szCs w:val="24"/>
        </w:rPr>
        <w:t xml:space="preserve"> – antenos maitintuvo</w:t>
      </w:r>
      <w:r>
        <w:rPr>
          <w:bCs/>
          <w:szCs w:val="24"/>
        </w:rPr>
        <w:t xml:space="preserve"> </w:t>
      </w:r>
      <w:r>
        <w:rPr>
          <w:szCs w:val="24"/>
        </w:rPr>
        <w:t>kalibravimo paklaida, dB;</w:t>
      </w:r>
    </w:p>
    <w:p>
      <w:pPr>
        <w:ind w:left="284" w:firstLine="730"/>
        <w:jc w:val="both"/>
        <w:rPr>
          <w:szCs w:val="24"/>
        </w:rPr>
      </w:pPr>
      <w:r>
        <w:rPr>
          <w:szCs w:val="24"/>
          <w:lang w:val="en-US"/>
        </w:rPr>
        <w:t>Δ</w:t>
      </w:r>
      <w:r>
        <w:rPr>
          <w:szCs w:val="24"/>
          <w:vertAlign w:val="subscript"/>
        </w:rPr>
        <w:t>rx</w:t>
      </w:r>
      <w:r>
        <w:rPr>
          <w:szCs w:val="24"/>
        </w:rPr>
        <w:t xml:space="preserve"> – imtuvo signalo lygio kalibravimo paklaida, dB.</w:t>
      </w:r>
    </w:p>
    <w:p>
      <w:pPr>
        <w:rPr>
          <w:sz w:val="20"/>
        </w:rPr>
      </w:pPr>
    </w:p>
    <w:p>
      <w:pPr>
        <w:jc w:val="center"/>
        <w:rPr>
          <w:b/>
          <w:bCs/>
          <w:caps/>
          <w:szCs w:val="24"/>
        </w:rPr>
      </w:pPr>
      <w:r>
        <w:rPr>
          <w:b/>
          <w:bCs/>
          <w:caps/>
          <w:szCs w:val="24"/>
        </w:rPr>
        <w:t>IX</w:t>
      </w:r>
      <w:r>
        <w:rPr>
          <w:b/>
          <w:bCs/>
          <w:caps/>
          <w:szCs w:val="24"/>
        </w:rPr>
        <w:t xml:space="preserve">. </w:t>
      </w:r>
      <w:r>
        <w:rPr>
          <w:b/>
          <w:bCs/>
          <w:caps/>
          <w:szCs w:val="24"/>
        </w:rPr>
        <w:t>MATAVIMO REZULTATŲ įFORMINIMAS</w:t>
      </w:r>
    </w:p>
    <w:p>
      <w:pPr>
        <w:rPr>
          <w:sz w:val="10"/>
          <w:szCs w:val="10"/>
        </w:rPr>
      </w:pPr>
    </w:p>
    <w:p>
      <w:pPr>
        <w:ind w:firstLine="170"/>
        <w:jc w:val="both"/>
        <w:rPr>
          <w:szCs w:val="24"/>
        </w:rPr>
      </w:pPr>
      <w:r>
        <w:rPr>
          <w:szCs w:val="24"/>
        </w:rPr>
        <w:t>26</w:t>
      </w:r>
      <w:r>
        <w:rPr>
          <w:szCs w:val="24"/>
        </w:rPr>
        <w:t>. Gauti matavimo rezultatai įforminami užpildant Taisyklių 2 priede pateiktos formos protokolą. Taisyklių 8 punkte nurodytų matavimo vietų skaičius turi būti nurodytas protokolo skiltyje „Pastabos“.</w:t>
      </w:r>
    </w:p>
    <w:p>
      <w:pPr>
        <w:ind w:firstLine="170"/>
        <w:jc w:val="both"/>
        <w:rPr>
          <w:szCs w:val="24"/>
        </w:rPr>
      </w:pPr>
      <w:r>
        <w:rPr>
          <w:szCs w:val="24"/>
        </w:rPr>
        <w:t>27</w:t>
      </w:r>
      <w:r>
        <w:rPr>
          <w:szCs w:val="24"/>
        </w:rPr>
        <w:t>. Protokolai saugomi Tarnyboje Lietuvos vyriausiojo archyvaro tarnybos nustatyta tvarka.</w:t>
      </w:r>
    </w:p>
    <w:p>
      <w:pPr>
        <w:rPr>
          <w:sz w:val="20"/>
        </w:rPr>
      </w:pPr>
    </w:p>
    <w:p>
      <w:pPr>
        <w:jc w:val="center"/>
        <w:rPr>
          <w:b/>
          <w:bCs/>
          <w:caps/>
          <w:szCs w:val="24"/>
        </w:rPr>
      </w:pPr>
      <w:r>
        <w:rPr>
          <w:b/>
          <w:bCs/>
          <w:caps/>
          <w:szCs w:val="24"/>
        </w:rPr>
        <w:t>X</w:t>
      </w:r>
      <w:r>
        <w:rPr>
          <w:b/>
          <w:bCs/>
          <w:caps/>
          <w:szCs w:val="24"/>
        </w:rPr>
        <w:t xml:space="preserve">. </w:t>
      </w:r>
      <w:r>
        <w:rPr>
          <w:b/>
          <w:bCs/>
          <w:caps/>
          <w:szCs w:val="24"/>
        </w:rPr>
        <w:t>BAIGIAMOSIOS NUOSTATOS</w:t>
      </w:r>
    </w:p>
    <w:p>
      <w:pPr>
        <w:rPr>
          <w:sz w:val="10"/>
          <w:szCs w:val="10"/>
        </w:rPr>
      </w:pPr>
    </w:p>
    <w:p>
      <w:pPr>
        <w:ind w:firstLine="170"/>
        <w:jc w:val="both"/>
        <w:rPr>
          <w:szCs w:val="24"/>
        </w:rPr>
      </w:pPr>
      <w:r>
        <w:rPr>
          <w:szCs w:val="24"/>
        </w:rPr>
        <w:t>28</w:t>
      </w:r>
      <w:r>
        <w:rPr>
          <w:szCs w:val="24"/>
        </w:rPr>
        <w:t>. Tarnybos veiksmai ar neveikimas, įgyvendinant šias Taisykles, gali būti skundžiami Lietuvos Respublikos įstatymų nustatyta tvarka ir sąlygomis.</w:t>
      </w:r>
    </w:p>
    <w:p>
      <w:pPr>
        <w:ind w:firstLine="170"/>
        <w:jc w:val="both"/>
        <w:rPr>
          <w:szCs w:val="24"/>
        </w:rPr>
      </w:pPr>
    </w:p>
    <w:p>
      <w:pPr>
        <w:jc w:val="center"/>
      </w:pPr>
      <w:r>
        <w:rPr>
          <w:szCs w:val="24"/>
        </w:rPr>
        <w:t>______________</w:t>
      </w:r>
    </w:p>
    <w:p>
      <w:pPr>
        <w:tabs>
          <w:tab w:val="left" w:pos="1304"/>
          <w:tab w:val="left" w:pos="1457"/>
          <w:tab w:val="left" w:pos="1604"/>
          <w:tab w:val="left" w:pos="1757"/>
        </w:tabs>
      </w:pPr>
      <w:r>
        <w:br w:type="page"/>
      </w:r>
    </w:p>
    <w:p>
      <w:pPr>
        <w:tabs>
          <w:tab w:val="left" w:pos="1304"/>
          <w:tab w:val="left" w:pos="1457"/>
          <w:tab w:val="left" w:pos="1604"/>
          <w:tab w:val="left" w:pos="1757"/>
        </w:tabs>
        <w:ind w:left="5557"/>
        <w:rPr>
          <w:szCs w:val="24"/>
        </w:rPr>
      </w:pPr>
      <w:r>
        <w:rPr>
          <w:szCs w:val="24"/>
        </w:rPr>
        <w:t xml:space="preserve">Elektromagnetinio lauko stiprio </w:t>
      </w:r>
    </w:p>
    <w:p>
      <w:pPr>
        <w:tabs>
          <w:tab w:val="left" w:pos="1304"/>
          <w:tab w:val="left" w:pos="1457"/>
          <w:tab w:val="left" w:pos="1604"/>
          <w:tab w:val="left" w:pos="1757"/>
        </w:tabs>
        <w:ind w:left="5557"/>
        <w:rPr>
          <w:szCs w:val="24"/>
        </w:rPr>
      </w:pPr>
      <w:r>
        <w:rPr>
          <w:szCs w:val="24"/>
        </w:rPr>
        <w:t xml:space="preserve">matavimo radijo stebėsenos stotyse </w:t>
      </w:r>
    </w:p>
    <w:p>
      <w:pPr>
        <w:tabs>
          <w:tab w:val="left" w:pos="1304"/>
          <w:tab w:val="left" w:pos="1457"/>
          <w:tab w:val="left" w:pos="1604"/>
          <w:tab w:val="left" w:pos="1757"/>
        </w:tabs>
        <w:ind w:left="5557"/>
        <w:rPr>
          <w:szCs w:val="24"/>
        </w:rPr>
      </w:pPr>
      <w:r>
        <w:rPr>
          <w:szCs w:val="24"/>
        </w:rPr>
        <w:t>taisyklių</w:t>
      </w:r>
    </w:p>
    <w:p>
      <w:pPr>
        <w:tabs>
          <w:tab w:val="left" w:pos="1304"/>
          <w:tab w:val="left" w:pos="1457"/>
          <w:tab w:val="left" w:pos="1604"/>
          <w:tab w:val="left" w:pos="1757"/>
        </w:tabs>
        <w:ind w:left="5557"/>
        <w:rPr>
          <w:szCs w:val="24"/>
        </w:rPr>
      </w:pPr>
      <w:r>
        <w:rPr>
          <w:szCs w:val="24"/>
        </w:rPr>
        <w:t>1</w:t>
      </w:r>
      <w:r>
        <w:rPr>
          <w:szCs w:val="24"/>
        </w:rPr>
        <w:t xml:space="preserve"> priedas</w:t>
      </w:r>
    </w:p>
    <w:p>
      <w:pPr>
        <w:rPr>
          <w:sz w:val="32"/>
          <w:szCs w:val="32"/>
        </w:rPr>
      </w:pPr>
    </w:p>
    <w:p>
      <w:pPr>
        <w:tabs>
          <w:tab w:val="left" w:pos="1080"/>
        </w:tabs>
        <w:ind w:left="301"/>
        <w:jc w:val="center"/>
        <w:outlineLvl w:val="2"/>
        <w:rPr>
          <w:b/>
          <w:bCs/>
          <w:kern w:val="28"/>
          <w:szCs w:val="24"/>
        </w:rPr>
      </w:pPr>
      <w:r>
        <w:rPr>
          <w:rFonts w:cs="Arial Unicode MS"/>
          <w:b/>
          <w:bCs/>
          <w:kern w:val="28"/>
          <w:szCs w:val="24"/>
        </w:rPr>
        <w:t>MATAVIMO IMTUVO DETEKTORIAUS FUNKCIJOS IR JUOSTOS PLOČIO NUSTATYMAS PAGAL RADIJO SIGNALŲ TIPĄ</w:t>
      </w:r>
    </w:p>
    <w:p>
      <w:pPr>
        <w:tabs>
          <w:tab w:val="left" w:pos="1080"/>
        </w:tabs>
        <w:jc w:val="both"/>
        <w:outlineLvl w:val="2"/>
        <w:rPr>
          <w:kern w:val="28"/>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701"/>
        <w:gridCol w:w="3402"/>
      </w:tblGrid>
      <w:tr>
        <w:trPr>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b/>
                <w:bCs/>
                <w:kern w:val="28"/>
                <w:szCs w:val="24"/>
              </w:rPr>
            </w:pPr>
            <w:r>
              <w:rPr>
                <w:b/>
                <w:bCs/>
                <w:kern w:val="28"/>
                <w:szCs w:val="24"/>
              </w:rPr>
              <w:t>Radijo signalų tipas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b/>
                <w:bCs/>
                <w:kern w:val="28"/>
                <w:szCs w:val="24"/>
              </w:rPr>
            </w:pPr>
            <w:r>
              <w:rPr>
                <w:b/>
                <w:bCs/>
                <w:kern w:val="28"/>
                <w:szCs w:val="24"/>
              </w:rPr>
              <w:t>Minimalus juostos plotis, kHz</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b/>
                <w:bCs/>
                <w:kern w:val="28"/>
                <w:szCs w:val="24"/>
              </w:rPr>
            </w:pPr>
            <w:r>
              <w:rPr>
                <w:b/>
                <w:bCs/>
                <w:kern w:val="28"/>
                <w:szCs w:val="24"/>
              </w:rPr>
              <w:t>Detektorius</w:t>
            </w:r>
          </w:p>
        </w:tc>
      </w:tr>
      <w:tr>
        <w:trPr>
          <w:trHeight w:val="397"/>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 xml:space="preserve">Amplitudės moduliavimo (AM) signalas </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Tiesinio vidurkinimo</w:t>
            </w:r>
          </w:p>
          <w:p>
            <w:pPr>
              <w:tabs>
                <w:tab w:val="left" w:pos="1080"/>
              </w:tabs>
              <w:outlineLvl w:val="2"/>
              <w:rPr>
                <w:kern w:val="28"/>
                <w:szCs w:val="24"/>
              </w:rPr>
            </w:pPr>
            <w:r>
              <w:rPr>
                <w:kern w:val="28"/>
                <w:szCs w:val="24"/>
                <w:lang w:val="en-GB"/>
              </w:rPr>
              <w:t>(angl.</w:t>
            </w:r>
            <w:r>
              <w:rPr>
                <w:i/>
                <w:iCs/>
                <w:kern w:val="28"/>
                <w:szCs w:val="24"/>
                <w:lang w:val="en-GB"/>
              </w:rPr>
              <w:t xml:space="preserve"> linear average</w:t>
            </w:r>
            <w:r>
              <w:rPr>
                <w:kern w:val="28"/>
                <w:szCs w:val="24"/>
                <w:lang w:val="en-GB"/>
              </w:rPr>
              <w:t>)</w:t>
            </w:r>
          </w:p>
        </w:tc>
      </w:tr>
      <w:tr>
        <w:trPr>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 xml:space="preserve">Vienpusės šalinės juostos amplitudės moduliavimo (SSB) signalas </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2,4</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 xml:space="preserve">Didžiausios vertės </w:t>
            </w:r>
          </w:p>
          <w:p>
            <w:pPr>
              <w:tabs>
                <w:tab w:val="left" w:pos="1080"/>
              </w:tabs>
              <w:outlineLvl w:val="2"/>
              <w:rPr>
                <w:kern w:val="28"/>
                <w:szCs w:val="24"/>
              </w:rPr>
            </w:pPr>
            <w:r>
              <w:rPr>
                <w:kern w:val="28"/>
                <w:szCs w:val="24"/>
                <w:lang w:val="en-GB"/>
              </w:rPr>
              <w:t>(angl.</w:t>
            </w:r>
            <w:r>
              <w:rPr>
                <w:i/>
                <w:iCs/>
                <w:kern w:val="28"/>
                <w:szCs w:val="24"/>
                <w:lang w:val="en-GB"/>
              </w:rPr>
              <w:t xml:space="preserve"> peak</w:t>
            </w:r>
            <w:r>
              <w:rPr>
                <w:kern w:val="28"/>
                <w:szCs w:val="24"/>
                <w:lang w:val="en-GB"/>
              </w:rPr>
              <w:t>)</w:t>
            </w:r>
          </w:p>
        </w:tc>
      </w:tr>
      <w:tr>
        <w:trPr>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 xml:space="preserve">Siaurajuostis radijo </w:t>
            </w:r>
            <w:r>
              <w:rPr>
                <w:rFonts w:cs="Arial Unicode MS"/>
                <w:bCs/>
                <w:kern w:val="28"/>
                <w:szCs w:val="24"/>
              </w:rPr>
              <w:t xml:space="preserve">dažnio moduliavimo (FM) ryšio signalas, esant 12,5 kHz kanalų atskyrimui </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7,5</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Tiesinio arba logaritminio vidurkinimo</w:t>
            </w:r>
          </w:p>
          <w:p>
            <w:pPr>
              <w:tabs>
                <w:tab w:val="left" w:pos="1080"/>
              </w:tabs>
              <w:ind w:firstLine="60"/>
              <w:outlineLvl w:val="2"/>
              <w:rPr>
                <w:kern w:val="28"/>
                <w:szCs w:val="24"/>
              </w:rPr>
            </w:pPr>
            <w:r>
              <w:rPr>
                <w:kern w:val="28"/>
                <w:szCs w:val="24"/>
                <w:lang w:val="es-ES_tradnl"/>
              </w:rPr>
              <w:t>(angl.</w:t>
            </w:r>
            <w:r>
              <w:rPr>
                <w:i/>
                <w:iCs/>
                <w:kern w:val="28"/>
                <w:szCs w:val="24"/>
                <w:lang w:val="es-ES_tradnl"/>
              </w:rPr>
              <w:t xml:space="preserve"> linear or log average</w:t>
            </w:r>
            <w:r>
              <w:rPr>
                <w:kern w:val="28"/>
                <w:szCs w:val="24"/>
                <w:lang w:val="es-ES_tradnl"/>
              </w:rPr>
              <w:t>)</w:t>
            </w:r>
          </w:p>
        </w:tc>
      </w:tr>
      <w:tr>
        <w:trPr>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 xml:space="preserve">Siaurajuostis radijo </w:t>
            </w:r>
            <w:r>
              <w:rPr>
                <w:rFonts w:cs="Arial Unicode MS"/>
                <w:bCs/>
                <w:kern w:val="28"/>
                <w:szCs w:val="24"/>
              </w:rPr>
              <w:t xml:space="preserve">dažnio moduliavimo (FM) ryšio signalas, esant 20 kHz kanalų atskyrimui </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Tiesinio arba logaritminio vidurkinimo</w:t>
            </w:r>
          </w:p>
        </w:tc>
      </w:tr>
      <w:tr>
        <w:trPr>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 xml:space="preserve">Siaurajuostis radijo </w:t>
            </w:r>
            <w:r>
              <w:rPr>
                <w:rFonts w:cs="Arial Unicode MS"/>
                <w:bCs/>
                <w:kern w:val="28"/>
                <w:szCs w:val="24"/>
              </w:rPr>
              <w:t>dažnio moduliavimo (FM) ryšio signalas, esant 25 kHz kanalų atskyrimui</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Tiesinio arba logaritminio vidurkinimo</w:t>
            </w:r>
          </w:p>
        </w:tc>
      </w:tr>
      <w:tr>
        <w:trPr>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rFonts w:cs="Arial Unicode MS"/>
                <w:bCs/>
                <w:kern w:val="28"/>
                <w:szCs w:val="24"/>
              </w:rPr>
              <w:t>Radijo programų transliavimo stočių dažnio moduliavimo (FM) 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120</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Tiesinio arba logaritminio vidurkinimo</w:t>
            </w:r>
          </w:p>
        </w:tc>
      </w:tr>
      <w:tr>
        <w:trPr>
          <w:trHeight w:val="397"/>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Analoginės televizijos (ATV) vaizdo 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120</w:t>
            </w:r>
          </w:p>
        </w:tc>
        <w:tc>
          <w:tcPr>
            <w:tcW w:w="3402"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Didžiausios vertės</w:t>
            </w:r>
          </w:p>
        </w:tc>
      </w:tr>
      <w:tr>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rFonts w:cs="Arial Unicode MS"/>
                <w:bCs/>
                <w:kern w:val="28"/>
                <w:szCs w:val="24"/>
              </w:rPr>
              <w:t>Radijo programų transliavimo stočių skaitmeninio moduliavimo (DAB) signalas</w:t>
            </w:r>
            <w:r>
              <w:rPr>
                <w:kern w:val="28"/>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1 500</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 xml:space="preserve">Vidutinės kvadratinės vertės </w:t>
            </w:r>
          </w:p>
          <w:p>
            <w:pPr>
              <w:tabs>
                <w:tab w:val="left" w:pos="1080"/>
              </w:tabs>
              <w:outlineLvl w:val="2"/>
              <w:rPr>
                <w:kern w:val="28"/>
                <w:szCs w:val="24"/>
              </w:rPr>
            </w:pPr>
            <w:r>
              <w:rPr>
                <w:kern w:val="28"/>
                <w:szCs w:val="24"/>
              </w:rPr>
              <w:t>(angl.</w:t>
            </w:r>
            <w:r>
              <w:rPr>
                <w:i/>
                <w:iCs/>
                <w:kern w:val="28"/>
                <w:szCs w:val="24"/>
              </w:rPr>
              <w:t xml:space="preserve"> root mean square</w:t>
            </w:r>
            <w:r>
              <w:rPr>
                <w:kern w:val="28"/>
                <w:szCs w:val="24"/>
              </w:rPr>
              <w:t>).</w:t>
            </w:r>
          </w:p>
          <w:p>
            <w:pPr>
              <w:tabs>
                <w:tab w:val="left" w:pos="1080"/>
              </w:tabs>
              <w:outlineLvl w:val="2"/>
              <w:rPr>
                <w:kern w:val="28"/>
                <w:szCs w:val="24"/>
              </w:rPr>
            </w:pPr>
            <w:r>
              <w:rPr>
                <w:kern w:val="28"/>
                <w:szCs w:val="24"/>
              </w:rPr>
              <w:t xml:space="preserve">Esant radijo trikdžiams – </w:t>
            </w:r>
          </w:p>
          <w:p>
            <w:pPr>
              <w:tabs>
                <w:tab w:val="left" w:pos="1080"/>
              </w:tabs>
              <w:outlineLvl w:val="2"/>
              <w:rPr>
                <w:kern w:val="28"/>
                <w:szCs w:val="24"/>
              </w:rPr>
            </w:pPr>
            <w:r>
              <w:rPr>
                <w:kern w:val="28"/>
                <w:szCs w:val="24"/>
              </w:rPr>
              <w:t>didžiausios vertės.</w:t>
            </w:r>
          </w:p>
        </w:tc>
      </w:tr>
      <w:tr>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rFonts w:cs="Arial Unicode MS"/>
                <w:bCs/>
                <w:kern w:val="28"/>
                <w:szCs w:val="24"/>
              </w:rPr>
            </w:pPr>
            <w:r>
              <w:rPr>
                <w:kern w:val="28"/>
                <w:szCs w:val="24"/>
              </w:rPr>
              <w:t>Televizijos</w:t>
            </w:r>
            <w:r>
              <w:rPr>
                <w:rFonts w:cs="Arial Unicode MS"/>
                <w:bCs/>
                <w:kern w:val="28"/>
                <w:szCs w:val="24"/>
              </w:rPr>
              <w:t xml:space="preserve"> programų transliavimo stočių skaitmeninio moduliavimo (DVB-T) 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7 600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kern w:val="28"/>
                <w:szCs w:val="24"/>
              </w:rPr>
            </w:pPr>
          </w:p>
        </w:tc>
      </w:tr>
      <w:tr>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kern w:val="28"/>
                <w:szCs w:val="24"/>
              </w:rPr>
              <w:t>Skaitmeninio kamieninio (magistralinio) radijo ryšio (TETRA) 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kern w:val="28"/>
                <w:szCs w:val="24"/>
              </w:rPr>
            </w:pPr>
          </w:p>
        </w:tc>
      </w:tr>
      <w:tr>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rFonts w:cs="Arial Unicode MS"/>
                <w:kern w:val="28"/>
                <w:szCs w:val="24"/>
              </w:rPr>
              <w:t>Skaitmeninės korinio judriojo radijo ryšio sistemos</w:t>
            </w:r>
            <w:r>
              <w:rPr>
                <w:kern w:val="28"/>
                <w:szCs w:val="24"/>
              </w:rPr>
              <w:t xml:space="preserve"> (GSM) 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kern w:val="28"/>
                <w:szCs w:val="24"/>
              </w:rPr>
            </w:pPr>
          </w:p>
        </w:tc>
      </w:tr>
      <w:tr>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kern w:val="28"/>
                <w:szCs w:val="24"/>
              </w:rPr>
            </w:pPr>
            <w:r>
              <w:rPr>
                <w:rFonts w:cs="Arial Unicode MS"/>
                <w:kern w:val="28"/>
                <w:szCs w:val="24"/>
              </w:rPr>
              <w:t>Plačiajuosčio judriojo radijo ryšio sistemos</w:t>
            </w:r>
            <w:r>
              <w:rPr>
                <w:kern w:val="28"/>
                <w:szCs w:val="24"/>
              </w:rPr>
              <w:t xml:space="preserve"> (UMTS) 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3 840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kern w:val="28"/>
                <w:szCs w:val="24"/>
              </w:rPr>
            </w:pPr>
          </w:p>
        </w:tc>
      </w:tr>
      <w:tr>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rFonts w:cs="Arial Unicode MS"/>
                <w:kern w:val="28"/>
                <w:szCs w:val="24"/>
              </w:rPr>
            </w:pPr>
            <w:r>
              <w:rPr>
                <w:rFonts w:cs="Arial Unicode MS"/>
                <w:kern w:val="28"/>
                <w:szCs w:val="24"/>
              </w:rPr>
              <w:t>Plačiajuosčio judriojo radijo ryšio sistemos</w:t>
            </w:r>
          </w:p>
          <w:p>
            <w:pPr>
              <w:tabs>
                <w:tab w:val="left" w:pos="1080"/>
              </w:tabs>
              <w:outlineLvl w:val="2"/>
              <w:rPr>
                <w:rFonts w:cs="Arial Unicode MS"/>
                <w:kern w:val="28"/>
                <w:szCs w:val="24"/>
              </w:rPr>
            </w:pPr>
            <w:r>
              <w:rPr>
                <w:rFonts w:cs="Arial Unicode MS"/>
                <w:kern w:val="28"/>
                <w:szCs w:val="24"/>
              </w:rPr>
              <w:t xml:space="preserve">(WiMAX) </w:t>
            </w:r>
            <w:r>
              <w:rPr>
                <w:kern w:val="28"/>
                <w:szCs w:val="24"/>
              </w:rPr>
              <w:t>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3 500, 5 000,</w:t>
            </w:r>
          </w:p>
          <w:p>
            <w:pPr>
              <w:tabs>
                <w:tab w:val="left" w:pos="1080"/>
              </w:tabs>
              <w:jc w:val="center"/>
              <w:outlineLvl w:val="2"/>
              <w:rPr>
                <w:kern w:val="28"/>
                <w:szCs w:val="24"/>
              </w:rPr>
            </w:pPr>
            <w:r>
              <w:rPr>
                <w:kern w:val="28"/>
                <w:szCs w:val="24"/>
              </w:rPr>
              <w:t>7 000, 10 000 ar 20 000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kern w:val="28"/>
                <w:szCs w:val="24"/>
              </w:rPr>
            </w:pPr>
          </w:p>
        </w:tc>
      </w:tr>
      <w:tr>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pPr>
              <w:tabs>
                <w:tab w:val="left" w:pos="1080"/>
              </w:tabs>
              <w:outlineLvl w:val="2"/>
              <w:rPr>
                <w:rFonts w:cs="Arial Unicode MS"/>
                <w:kern w:val="28"/>
                <w:szCs w:val="24"/>
              </w:rPr>
            </w:pPr>
            <w:r>
              <w:rPr>
                <w:rFonts w:cs="Arial Unicode MS"/>
                <w:kern w:val="28"/>
                <w:szCs w:val="24"/>
              </w:rPr>
              <w:t>Plačiajuosčio judriojo radijo ryšio sistemos</w:t>
            </w:r>
          </w:p>
          <w:p>
            <w:pPr>
              <w:tabs>
                <w:tab w:val="left" w:pos="1080"/>
              </w:tabs>
              <w:outlineLvl w:val="2"/>
              <w:rPr>
                <w:rFonts w:cs="Arial Unicode MS"/>
                <w:kern w:val="28"/>
                <w:szCs w:val="24"/>
              </w:rPr>
            </w:pPr>
            <w:r>
              <w:rPr>
                <w:rFonts w:cs="Arial Unicode MS"/>
                <w:kern w:val="28"/>
                <w:szCs w:val="24"/>
              </w:rPr>
              <w:t xml:space="preserve">(LTE) </w:t>
            </w:r>
            <w:r>
              <w:rPr>
                <w:kern w:val="28"/>
                <w:szCs w:val="24"/>
              </w:rPr>
              <w:t>signalas</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1080"/>
              </w:tabs>
              <w:jc w:val="center"/>
              <w:outlineLvl w:val="2"/>
              <w:rPr>
                <w:kern w:val="28"/>
                <w:szCs w:val="24"/>
              </w:rPr>
            </w:pPr>
            <w:r>
              <w:rPr>
                <w:kern w:val="28"/>
                <w:szCs w:val="24"/>
              </w:rPr>
              <w:t>3 000, 5 000,</w:t>
            </w:r>
          </w:p>
          <w:p>
            <w:pPr>
              <w:tabs>
                <w:tab w:val="left" w:pos="1080"/>
              </w:tabs>
              <w:jc w:val="center"/>
              <w:outlineLvl w:val="2"/>
              <w:rPr>
                <w:kern w:val="28"/>
                <w:szCs w:val="24"/>
              </w:rPr>
            </w:pPr>
            <w:r>
              <w:rPr>
                <w:kern w:val="28"/>
                <w:szCs w:val="24"/>
              </w:rPr>
              <w:t>10 000, 15 000 ar 20 000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kern w:val="28"/>
                <w:szCs w:val="24"/>
              </w:rPr>
            </w:pPr>
          </w:p>
        </w:tc>
      </w:tr>
    </w:tbl>
    <w:p>
      <w:pPr/>
    </w:p>
    <w:p>
      <w:pPr>
        <w:tabs>
          <w:tab w:val="center" w:pos="4153"/>
          <w:tab w:val="right" w:pos="8306"/>
        </w:tabs>
      </w:pPr>
      <w:r>
        <w:br w:type="page"/>
      </w:r>
    </w:p>
    <w:p>
      <w:pPr>
        <w:tabs>
          <w:tab w:val="center" w:pos="4153"/>
          <w:tab w:val="right" w:pos="8306"/>
        </w:tabs>
        <w:ind w:left="5670"/>
        <w:rPr>
          <w:szCs w:val="24"/>
        </w:rPr>
      </w:pPr>
      <w:r>
        <w:rPr>
          <w:szCs w:val="24"/>
        </w:rPr>
        <w:t xml:space="preserve">Elektromagnetinio lauko stiprio </w:t>
      </w:r>
    </w:p>
    <w:p>
      <w:pPr>
        <w:tabs>
          <w:tab w:val="center" w:pos="4153"/>
          <w:tab w:val="right" w:pos="8306"/>
        </w:tabs>
        <w:ind w:left="5670"/>
        <w:rPr>
          <w:szCs w:val="24"/>
        </w:rPr>
      </w:pPr>
      <w:r>
        <w:rPr>
          <w:szCs w:val="24"/>
        </w:rPr>
        <w:t xml:space="preserve">matavimo radijo stebėsenos stotyse </w:t>
      </w:r>
    </w:p>
    <w:p>
      <w:pPr>
        <w:tabs>
          <w:tab w:val="center" w:pos="4153"/>
          <w:tab w:val="right" w:pos="8306"/>
        </w:tabs>
        <w:ind w:left="5670"/>
        <w:rPr>
          <w:szCs w:val="24"/>
        </w:rPr>
      </w:pPr>
      <w:r>
        <w:rPr>
          <w:szCs w:val="24"/>
        </w:rPr>
        <w:t>taisyklių</w:t>
      </w:r>
    </w:p>
    <w:p>
      <w:pPr>
        <w:tabs>
          <w:tab w:val="center" w:pos="4153"/>
          <w:tab w:val="right" w:pos="8306"/>
        </w:tabs>
        <w:ind w:left="5670"/>
        <w:rPr>
          <w:szCs w:val="24"/>
        </w:rPr>
      </w:pPr>
      <w:r>
        <w:rPr>
          <w:szCs w:val="24"/>
        </w:rPr>
        <w:t>2</w:t>
      </w:r>
      <w:r>
        <w:rPr>
          <w:szCs w:val="24"/>
        </w:rPr>
        <w:t xml:space="preserve"> priedas</w:t>
      </w:r>
    </w:p>
    <w:p>
      <w:pPr>
        <w:tabs>
          <w:tab w:val="center" w:pos="4153"/>
          <w:tab w:val="right" w:pos="8306"/>
        </w:tabs>
        <w:ind w:left="5670"/>
        <w:rPr>
          <w:szCs w:val="24"/>
        </w:rPr>
      </w:pPr>
    </w:p>
    <w:tbl>
      <w:tblPr>
        <w:tblW w:w="9930" w:type="dxa"/>
        <w:tblInd w:w="-142" w:type="dxa"/>
        <w:tblLayout w:type="fixed"/>
        <w:tblCellMar>
          <w:left w:w="0" w:type="dxa"/>
          <w:right w:w="0" w:type="dxa"/>
        </w:tblCellMar>
        <w:tblLook w:val="04A0" w:firstRow="1" w:lastRow="0" w:firstColumn="1" w:lastColumn="0" w:noHBand="0" w:noVBand="1"/>
      </w:tblPr>
      <w:tblGrid>
        <w:gridCol w:w="6"/>
        <w:gridCol w:w="3329"/>
        <w:gridCol w:w="313"/>
        <w:gridCol w:w="386"/>
        <w:gridCol w:w="1963"/>
        <w:gridCol w:w="420"/>
        <w:gridCol w:w="1435"/>
        <w:gridCol w:w="1927"/>
        <w:gridCol w:w="140"/>
        <w:gridCol w:w="11"/>
      </w:tblGrid>
      <w:tr>
        <w:trPr>
          <w:gridBefore w:val="1"/>
          <w:wBefore w:w="6" w:type="dxa"/>
          <w:trHeight w:val="552"/>
        </w:trPr>
        <w:tc>
          <w:tcPr>
            <w:tcW w:w="3642" w:type="dxa"/>
            <w:gridSpan w:val="2"/>
            <w:vAlign w:val="center"/>
            <w:hideMark/>
          </w:tcPr>
          <w:p>
            <w:pPr>
              <w:rPr>
                <w:sz w:val="6"/>
                <w:szCs w:val="6"/>
              </w:rPr>
            </w:pPr>
          </w:p>
          <w:p>
            <w:pPr>
              <w:jc w:val="right"/>
              <w:rPr>
                <w:rFonts w:eastAsia="Arial Unicode MS"/>
                <w:b/>
                <w:bCs/>
                <w:sz w:val="20"/>
                <w:szCs w:val="24"/>
                <w:lang w:eastAsia="lt-LT"/>
              </w:rPr>
            </w:pPr>
            <w:r>
              <w:rPr>
                <w:rFonts w:eastAsia="Arial Unicode MS"/>
                <w:b/>
                <w:sz w:val="20"/>
                <w:szCs w:val="24"/>
                <w:lang w:eastAsia="lt-LT"/>
              </w:rPr>
              <w:drawing>
                <wp:inline distT="0" distB="0" distL="0" distR="0">
                  <wp:extent cx="7620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361950"/>
                          </a:xfrm>
                          <a:prstGeom prst="rect">
                            <a:avLst/>
                          </a:prstGeom>
                          <a:noFill/>
                          <a:ln>
                            <a:noFill/>
                          </a:ln>
                        </pic:spPr>
                      </pic:pic>
                    </a:graphicData>
                  </a:graphic>
                </wp:inline>
              </w:drawing>
            </w:r>
          </w:p>
        </w:tc>
        <w:tc>
          <w:tcPr>
            <w:tcW w:w="4204" w:type="dxa"/>
            <w:gridSpan w:val="4"/>
            <w:vAlign w:val="center"/>
            <w:hideMark/>
          </w:tcPr>
          <w:p>
            <w:pPr>
              <w:rPr>
                <w:sz w:val="6"/>
                <w:szCs w:val="6"/>
              </w:rPr>
            </w:pPr>
          </w:p>
          <w:p>
            <w:pPr>
              <w:ind w:left="113"/>
              <w:rPr>
                <w:rFonts w:eastAsia="Arial Unicode MS"/>
                <w:b/>
                <w:bCs/>
                <w:szCs w:val="24"/>
              </w:rPr>
            </w:pPr>
            <w:r>
              <w:rPr>
                <w:rFonts w:eastAsia="Arial Unicode MS"/>
                <w:b/>
                <w:bCs/>
                <w:szCs w:val="24"/>
              </w:rPr>
              <w:t xml:space="preserve">LIETUVOS RESPUBLIKOS </w:t>
            </w:r>
          </w:p>
          <w:p>
            <w:pPr>
              <w:ind w:left="113"/>
              <w:rPr>
                <w:rFonts w:eastAsia="Arial Unicode MS"/>
                <w:b/>
                <w:bCs/>
                <w:szCs w:val="24"/>
              </w:rPr>
            </w:pPr>
            <w:r>
              <w:rPr>
                <w:b/>
                <w:bCs/>
                <w:szCs w:val="24"/>
              </w:rPr>
              <w:t>RYŠIŲ REGULIAVIMO TARNYBA</w:t>
            </w:r>
          </w:p>
        </w:tc>
        <w:tc>
          <w:tcPr>
            <w:tcW w:w="2078" w:type="dxa"/>
            <w:gridSpan w:val="3"/>
            <w:vAlign w:val="center"/>
          </w:tcPr>
          <w:p>
            <w:pPr>
              <w:rPr>
                <w:sz w:val="6"/>
                <w:szCs w:val="6"/>
              </w:rPr>
            </w:pPr>
          </w:p>
          <w:p>
            <w:pPr>
              <w:jc w:val="center"/>
              <w:rPr>
                <w:rFonts w:eastAsia="Arial Unicode MS"/>
                <w:szCs w:val="24"/>
              </w:rPr>
            </w:pPr>
          </w:p>
        </w:tc>
      </w:tr>
      <w:tr>
        <w:tblPrEx>
          <w:tblCellMar>
            <w:left w:w="108" w:type="dxa"/>
            <w:right w:w="108" w:type="dxa"/>
          </w:tblCellMar>
        </w:tblPrEx>
        <w:trPr>
          <w:gridAfter w:val="1"/>
          <w:wAfter w:w="11" w:type="dxa"/>
        </w:trPr>
        <w:tc>
          <w:tcPr>
            <w:tcW w:w="9919" w:type="dxa"/>
            <w:gridSpan w:val="9"/>
            <w:hideMark/>
          </w:tcPr>
          <w:p>
            <w:pPr>
              <w:rPr>
                <w:sz w:val="10"/>
                <w:szCs w:val="10"/>
              </w:rPr>
            </w:pPr>
          </w:p>
          <w:p>
            <w:pPr>
              <w:keepNext/>
              <w:jc w:val="center"/>
              <w:rPr>
                <w:b/>
                <w:bCs/>
                <w:sz w:val="20"/>
                <w:szCs w:val="24"/>
                <w:lang w:eastAsia="lt-LT"/>
              </w:rPr>
            </w:pPr>
            <w:r>
              <w:rPr>
                <w:b/>
                <w:bCs/>
                <w:sz w:val="20"/>
                <w:szCs w:val="24"/>
                <w:lang w:eastAsia="lt-LT"/>
              </w:rPr>
              <w:t>ELEKTROMAGNETINIO LAUKO STIPRIO MATAVIMO</w:t>
            </w:r>
          </w:p>
          <w:p>
            <w:pPr>
              <w:keepNext/>
              <w:jc w:val="center"/>
              <w:rPr>
                <w:b/>
                <w:bCs/>
                <w:sz w:val="20"/>
                <w:szCs w:val="24"/>
                <w:lang w:eastAsia="lt-LT"/>
              </w:rPr>
            </w:pPr>
            <w:r>
              <w:rPr>
                <w:b/>
                <w:bCs/>
                <w:sz w:val="20"/>
                <w:szCs w:val="24"/>
                <w:lang w:eastAsia="lt-LT"/>
              </w:rPr>
              <w:t>PROTOKOLAS</w:t>
            </w:r>
          </w:p>
          <w:p>
            <w:pPr>
              <w:rPr>
                <w:sz w:val="10"/>
                <w:szCs w:val="10"/>
              </w:rPr>
            </w:pPr>
          </w:p>
          <w:p>
            <w:pPr>
              <w:jc w:val="center"/>
              <w:rPr>
                <w:spacing w:val="20"/>
                <w:sz w:val="22"/>
                <w:szCs w:val="22"/>
                <w:lang w:eastAsia="lt-LT"/>
              </w:rPr>
            </w:pPr>
            <w:r>
              <w:rPr>
                <w:bCs/>
                <w:sz w:val="22"/>
                <w:szCs w:val="22"/>
                <w:lang w:eastAsia="lt-LT"/>
              </w:rPr>
              <w:t xml:space="preserve">201 -    -    Nr. (    .    )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2"/>
          <w:wAfter w:w="151" w:type="dxa"/>
        </w:trPr>
        <w:tc>
          <w:tcPr>
            <w:tcW w:w="4034" w:type="dxa"/>
            <w:gridSpan w:val="4"/>
            <w:tcBorders>
              <w:top w:val="nil"/>
              <w:left w:val="nil"/>
              <w:bottom w:val="nil"/>
              <w:right w:val="nil"/>
            </w:tcBorders>
            <w:vAlign w:val="center"/>
          </w:tcPr>
          <w:p>
            <w:pPr>
              <w:jc w:val="center"/>
              <w:rPr>
                <w:spacing w:val="10"/>
                <w:sz w:val="22"/>
                <w:szCs w:val="22"/>
              </w:rPr>
            </w:pPr>
          </w:p>
        </w:tc>
        <w:tc>
          <w:tcPr>
            <w:tcW w:w="1963" w:type="dxa"/>
            <w:tcBorders>
              <w:top w:val="nil"/>
              <w:left w:val="nil"/>
              <w:bottom w:val="dotted" w:sz="4" w:space="0" w:color="auto"/>
              <w:right w:val="nil"/>
            </w:tcBorders>
            <w:vAlign w:val="center"/>
          </w:tcPr>
          <w:p>
            <w:pPr>
              <w:jc w:val="center"/>
              <w:rPr>
                <w:spacing w:val="10"/>
                <w:sz w:val="22"/>
                <w:szCs w:val="22"/>
              </w:rPr>
            </w:pPr>
          </w:p>
        </w:tc>
        <w:tc>
          <w:tcPr>
            <w:tcW w:w="3782" w:type="dxa"/>
            <w:gridSpan w:val="3"/>
            <w:tcBorders>
              <w:top w:val="nil"/>
              <w:left w:val="nil"/>
              <w:bottom w:val="nil"/>
              <w:right w:val="nil"/>
            </w:tcBorders>
            <w:vAlign w:val="center"/>
          </w:tcPr>
          <w:p>
            <w:pPr>
              <w:rPr>
                <w:b/>
                <w:spacing w:val="10"/>
                <w:sz w:val="22"/>
                <w:szCs w:val="22"/>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2"/>
          <w:wAfter w:w="151" w:type="dxa"/>
        </w:trPr>
        <w:tc>
          <w:tcPr>
            <w:tcW w:w="9779" w:type="dxa"/>
            <w:gridSpan w:val="8"/>
            <w:tcBorders>
              <w:top w:val="nil"/>
              <w:left w:val="nil"/>
              <w:bottom w:val="single" w:sz="4" w:space="0" w:color="auto"/>
              <w:right w:val="nil"/>
            </w:tcBorders>
            <w:vAlign w:val="center"/>
            <w:hideMark/>
          </w:tcPr>
          <w:p>
            <w:pPr>
              <w:rPr>
                <w:sz w:val="18"/>
                <w:szCs w:val="18"/>
              </w:rPr>
            </w:pPr>
          </w:p>
          <w:p>
            <w:pPr>
              <w:rPr>
                <w:caps/>
                <w:spacing w:val="10"/>
                <w:sz w:val="20"/>
              </w:rPr>
            </w:pPr>
            <w:r>
              <w:rPr>
                <w:rFonts w:ascii="Times New Roman Bold" w:hAnsi="Times New Roman Bold"/>
                <w:b/>
                <w:spacing w:val="10"/>
                <w:sz w:val="20"/>
              </w:rPr>
              <w:t xml:space="preserve">1. </w:t>
            </w:r>
            <w:r>
              <w:rPr>
                <w:b/>
                <w:caps/>
                <w:spacing w:val="10"/>
                <w:sz w:val="20"/>
              </w:rPr>
              <w:t>matavimO VIETA: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2"/>
          <w:wAfter w:w="151" w:type="dxa"/>
        </w:trPr>
        <w:tc>
          <w:tcPr>
            <w:tcW w:w="3335"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pPr>
              <w:rPr>
                <w:sz w:val="2"/>
                <w:szCs w:val="2"/>
              </w:rPr>
            </w:pPr>
          </w:p>
          <w:p>
            <w:pPr>
              <w:jc w:val="right"/>
              <w:rPr>
                <w:sz w:val="20"/>
              </w:rPr>
            </w:pPr>
            <w:r>
              <w:rPr>
                <w:sz w:val="20"/>
              </w:rPr>
              <w:t>Adresas</w:t>
            </w:r>
          </w:p>
        </w:tc>
        <w:tc>
          <w:tcPr>
            <w:tcW w:w="6444" w:type="dxa"/>
            <w:gridSpan w:val="6"/>
            <w:tcBorders>
              <w:top w:val="nil"/>
              <w:left w:val="single" w:sz="4" w:space="0" w:color="auto"/>
              <w:bottom w:val="single" w:sz="4" w:space="0" w:color="auto"/>
              <w:right w:val="single" w:sz="4" w:space="0" w:color="auto"/>
            </w:tcBorders>
          </w:tcPr>
          <w:p>
            <w:pPr>
              <w:rPr>
                <w:sz w:val="2"/>
                <w:szCs w:val="2"/>
              </w:rPr>
            </w:pPr>
          </w:p>
          <w:p>
            <w:pPr>
              <w:jc w:val="center"/>
              <w:rPr>
                <w:sz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2"/>
          <w:wAfter w:w="151" w:type="dxa"/>
        </w:trPr>
        <w:tc>
          <w:tcPr>
            <w:tcW w:w="3335"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pPr>
              <w:rPr>
                <w:sz w:val="2"/>
                <w:szCs w:val="2"/>
              </w:rPr>
            </w:pPr>
          </w:p>
          <w:p>
            <w:pPr>
              <w:jc w:val="right"/>
              <w:rPr>
                <w:sz w:val="20"/>
              </w:rPr>
            </w:pPr>
            <w:r>
              <w:rPr>
                <w:sz w:val="20"/>
              </w:rPr>
              <w:t>Geografinės koordinatės</w:t>
            </w:r>
          </w:p>
        </w:tc>
        <w:tc>
          <w:tcPr>
            <w:tcW w:w="3082" w:type="dxa"/>
            <w:gridSpan w:val="4"/>
            <w:tcBorders>
              <w:top w:val="nil"/>
              <w:left w:val="single" w:sz="4" w:space="0" w:color="auto"/>
              <w:bottom w:val="single" w:sz="4" w:space="0" w:color="auto"/>
              <w:right w:val="dotted" w:sz="4" w:space="0" w:color="auto"/>
            </w:tcBorders>
          </w:tcPr>
          <w:p>
            <w:pPr>
              <w:rPr>
                <w:sz w:val="2"/>
                <w:szCs w:val="2"/>
              </w:rPr>
            </w:pPr>
          </w:p>
          <w:p>
            <w:pPr>
              <w:tabs>
                <w:tab w:val="left" w:pos="4039"/>
              </w:tabs>
              <w:jc w:val="center"/>
              <w:rPr>
                <w:sz w:val="20"/>
              </w:rPr>
            </w:pPr>
          </w:p>
        </w:tc>
        <w:tc>
          <w:tcPr>
            <w:tcW w:w="3362" w:type="dxa"/>
            <w:gridSpan w:val="2"/>
            <w:tcBorders>
              <w:top w:val="single" w:sz="4" w:space="0" w:color="auto"/>
              <w:left w:val="dotted" w:sz="4" w:space="0" w:color="auto"/>
              <w:bottom w:val="single" w:sz="4" w:space="0" w:color="auto"/>
              <w:right w:val="single" w:sz="4" w:space="0" w:color="auto"/>
            </w:tcBorders>
          </w:tcPr>
          <w:p>
            <w:pPr>
              <w:rPr>
                <w:sz w:val="2"/>
                <w:szCs w:val="2"/>
              </w:rPr>
            </w:pPr>
          </w:p>
          <w:p>
            <w:pPr>
              <w:tabs>
                <w:tab w:val="left" w:pos="4039"/>
              </w:tabs>
              <w:jc w:val="center"/>
              <w:rPr>
                <w:sz w:val="20"/>
              </w:rPr>
            </w:pPr>
          </w:p>
        </w:tc>
      </w:tr>
    </w:tbl>
    <w:p>
      <w:pPr>
        <w:rPr>
          <w:sz w:val="18"/>
          <w:szCs w:val="18"/>
        </w:rPr>
      </w:pPr>
    </w:p>
    <w:p>
      <w:pPr>
        <w:rPr>
          <w:b/>
          <w:caps/>
          <w:spacing w:val="10"/>
          <w:sz w:val="20"/>
        </w:rPr>
      </w:pPr>
      <w:r>
        <w:rPr>
          <w:rFonts w:ascii="Times New Roman Bold" w:hAnsi="Times New Roman Bold"/>
          <w:b/>
          <w:spacing w:val="10"/>
          <w:sz w:val="20"/>
        </w:rPr>
        <w:t xml:space="preserve">2. </w:t>
      </w:r>
      <w:r>
        <w:rPr>
          <w:b/>
          <w:caps/>
          <w:spacing w:val="10"/>
          <w:sz w:val="20"/>
        </w:rPr>
        <w:t>rezultatai:</w:t>
      </w:r>
    </w:p>
    <w:p>
      <w:pPr>
        <w:rPr>
          <w:sz w:val="6"/>
          <w:szCs w:val="6"/>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772"/>
        <w:gridCol w:w="1345"/>
        <w:gridCol w:w="992"/>
        <w:gridCol w:w="1134"/>
        <w:gridCol w:w="567"/>
        <w:gridCol w:w="567"/>
        <w:gridCol w:w="567"/>
        <w:gridCol w:w="2692"/>
      </w:tblGrid>
      <w:tr>
        <w:trPr>
          <w:trHeight w:val="285"/>
        </w:trPr>
        <w:tc>
          <w:tcPr>
            <w:tcW w:w="1251" w:type="dxa"/>
            <w:vMerge w:val="restart"/>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Data</w:t>
            </w:r>
          </w:p>
        </w:tc>
        <w:tc>
          <w:tcPr>
            <w:tcW w:w="772" w:type="dxa"/>
            <w:vMerge w:val="restart"/>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Laikas</w:t>
            </w:r>
          </w:p>
        </w:tc>
        <w:tc>
          <w:tcPr>
            <w:tcW w:w="1346" w:type="dxa"/>
            <w:vMerge w:val="restart"/>
            <w:tcBorders>
              <w:top w:val="single" w:sz="4" w:space="0" w:color="auto"/>
              <w:left w:val="single" w:sz="4" w:space="0" w:color="auto"/>
              <w:bottom w:val="single" w:sz="4" w:space="0" w:color="auto"/>
              <w:right w:val="single" w:sz="4" w:space="0" w:color="auto"/>
            </w:tcBorders>
            <w:shd w:val="pct5" w:color="auto" w:fill="auto"/>
            <w:vAlign w:val="center"/>
            <w:hideMark/>
          </w:tcPr>
          <w:p>
            <w:pPr>
              <w:rPr>
                <w:sz w:val="20"/>
                <w:lang w:eastAsia="lt-LT"/>
              </w:rPr>
            </w:pPr>
            <w:r>
              <w:rPr>
                <w:rFonts w:eastAsia="MS Gothic"/>
                <w:sz w:val="20"/>
                <w:lang w:eastAsia="lt-LT"/>
              </w:rPr>
              <w:t>☐</w:t>
            </w:r>
            <w:r>
              <w:rPr>
                <w:sz w:val="20"/>
                <w:lang w:eastAsia="lt-LT"/>
              </w:rPr>
              <w:t xml:space="preserve">* radijo     dažnis, __Hz </w:t>
            </w:r>
          </w:p>
          <w:p>
            <w:pPr>
              <w:rPr>
                <w:sz w:val="4"/>
                <w:szCs w:val="4"/>
              </w:rPr>
            </w:pPr>
          </w:p>
          <w:p>
            <w:pPr>
              <w:rPr>
                <w:sz w:val="20"/>
                <w:lang w:eastAsia="lt-LT"/>
              </w:rPr>
            </w:pPr>
            <w:r>
              <w:rPr>
                <w:rFonts w:eastAsia="MS Mincho"/>
                <w:sz w:val="20"/>
                <w:lang w:eastAsia="lt-LT"/>
              </w:rPr>
              <w:t>☐</w:t>
            </w:r>
            <w:r>
              <w:rPr>
                <w:sz w:val="20"/>
                <w:lang w:eastAsia="lt-LT"/>
              </w:rPr>
              <w:t xml:space="preserve"> kanalo Nr.</w:t>
            </w:r>
          </w:p>
        </w:tc>
        <w:tc>
          <w:tcPr>
            <w:tcW w:w="992" w:type="dxa"/>
            <w:vMerge w:val="restart"/>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Juostos plotis**,</w:t>
            </w:r>
          </w:p>
          <w:p>
            <w:pPr>
              <w:jc w:val="center"/>
              <w:rPr>
                <w:sz w:val="20"/>
                <w:lang w:eastAsia="lt-LT"/>
              </w:rPr>
            </w:pPr>
            <w:r>
              <w:rPr>
                <w:sz w:val="20"/>
                <w:lang w:eastAsia="lt-LT"/>
              </w:rPr>
              <w:t>__Hz</w:t>
            </w:r>
          </w:p>
        </w:tc>
        <w:tc>
          <w:tcPr>
            <w:tcW w:w="1134" w:type="dxa"/>
            <w:vMerge w:val="restart"/>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EML***, dBµV/m</w:t>
            </w:r>
          </w:p>
        </w:tc>
        <w:tc>
          <w:tcPr>
            <w:tcW w:w="1701"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Matavimo antena****</w:t>
            </w:r>
          </w:p>
        </w:tc>
        <w:tc>
          <w:tcPr>
            <w:tcW w:w="2693" w:type="dxa"/>
            <w:vMerge w:val="restart"/>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 xml:space="preserve">Pastabos </w:t>
            </w:r>
          </w:p>
        </w:tc>
      </w:tr>
      <w:tr>
        <w:trPr>
          <w:trHeight w:val="285"/>
        </w:trPr>
        <w:tc>
          <w:tcPr>
            <w:tcW w:w="1251" w:type="dxa"/>
            <w:vMerge/>
            <w:tcBorders>
              <w:top w:val="single" w:sz="4" w:space="0" w:color="auto"/>
              <w:left w:val="single" w:sz="4" w:space="0" w:color="auto"/>
              <w:bottom w:val="single" w:sz="4" w:space="0" w:color="auto"/>
              <w:right w:val="single" w:sz="4" w:space="0" w:color="auto"/>
            </w:tcBorders>
            <w:vAlign w:val="center"/>
            <w:hideMark/>
          </w:tcPr>
          <w:p>
            <w:pPr>
              <w:rPr>
                <w:sz w:val="20"/>
                <w:lang w:eastAsia="lt-LT"/>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pPr>
              <w:rPr>
                <w:sz w:val="20"/>
                <w:lang w:eastAsia="lt-LT"/>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pPr>
              <w:rPr>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pPr>
              <w:rPr>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rPr>
                <w:sz w:val="20"/>
                <w:lang w:eastAsia="lt-LT"/>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pol</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h</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hideMark/>
          </w:tcPr>
          <w:p>
            <w:pPr>
              <w:jc w:val="center"/>
              <w:rPr>
                <w:sz w:val="20"/>
                <w:lang w:eastAsia="lt-LT"/>
              </w:rPr>
            </w:pPr>
            <w:r>
              <w:rPr>
                <w:sz w:val="20"/>
                <w:lang w:eastAsia="lt-LT"/>
              </w:rPr>
              <w:t>az</w:t>
            </w:r>
          </w:p>
        </w:tc>
        <w:tc>
          <w:tcPr>
            <w:tcW w:w="2693" w:type="dxa"/>
            <w:vMerge/>
            <w:tcBorders>
              <w:top w:val="single" w:sz="4" w:space="0" w:color="auto"/>
              <w:left w:val="single" w:sz="4" w:space="0" w:color="auto"/>
              <w:bottom w:val="single" w:sz="4" w:space="0" w:color="auto"/>
              <w:right w:val="single" w:sz="4" w:space="0" w:color="auto"/>
            </w:tcBorders>
            <w:vAlign w:val="center"/>
            <w:hideMark/>
          </w:tcPr>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r>
        <w:tc>
          <w:tcPr>
            <w:tcW w:w="125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77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346"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567"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rPr>
                <w:sz w:val="20"/>
                <w:lang w:eastAsia="lt-LT"/>
              </w:rPr>
            </w:pPr>
          </w:p>
        </w:tc>
      </w:tr>
    </w:tbl>
    <w:p>
      <w:pPr>
        <w:ind w:firstLine="300"/>
        <w:contextualSpacing/>
        <w:rPr>
          <w:sz w:val="18"/>
          <w:szCs w:val="18"/>
        </w:rPr>
      </w:pPr>
      <w:r>
        <w:rPr>
          <w:b/>
          <w:caps/>
          <w:sz w:val="18"/>
          <w:szCs w:val="18"/>
        </w:rPr>
        <w:t xml:space="preserve">* </w:t>
      </w:r>
      <w:r>
        <w:rPr>
          <w:sz w:val="18"/>
          <w:szCs w:val="18"/>
        </w:rPr>
        <w:t xml:space="preserve">Pasirinktą žymėti taip: </w:t>
      </w:r>
      <w:r>
        <w:rPr>
          <w:rFonts w:eastAsia="MS Mincho"/>
          <w:b/>
          <w:sz w:val="18"/>
          <w:szCs w:val="18"/>
        </w:rPr>
        <w:t>☒</w:t>
      </w:r>
      <w:r>
        <w:rPr>
          <w:sz w:val="18"/>
          <w:szCs w:val="18"/>
        </w:rPr>
        <w:t>.</w:t>
      </w:r>
    </w:p>
    <w:p>
      <w:pPr>
        <w:rPr>
          <w:sz w:val="6"/>
          <w:szCs w:val="6"/>
        </w:rPr>
      </w:pPr>
    </w:p>
    <w:p>
      <w:pPr>
        <w:ind w:firstLine="180"/>
        <w:contextualSpacing/>
        <w:rPr>
          <w:sz w:val="18"/>
          <w:szCs w:val="18"/>
        </w:rPr>
      </w:pPr>
      <w:r>
        <w:rPr>
          <w:b/>
          <w:caps/>
          <w:sz w:val="18"/>
          <w:szCs w:val="18"/>
        </w:rPr>
        <w:t xml:space="preserve">** </w:t>
      </w:r>
      <w:r>
        <w:rPr>
          <w:sz w:val="18"/>
          <w:szCs w:val="18"/>
        </w:rPr>
        <w:t>Matavimo imtuvo juostos plotis.</w:t>
      </w:r>
    </w:p>
    <w:p>
      <w:pPr>
        <w:rPr>
          <w:sz w:val="6"/>
          <w:szCs w:val="6"/>
        </w:rPr>
      </w:pPr>
    </w:p>
    <w:p>
      <w:pPr>
        <w:ind w:firstLine="90"/>
        <w:contextualSpacing/>
        <w:rPr>
          <w:sz w:val="18"/>
          <w:szCs w:val="18"/>
        </w:rPr>
      </w:pPr>
      <w:r>
        <w:rPr>
          <w:b/>
          <w:caps/>
          <w:sz w:val="18"/>
          <w:szCs w:val="18"/>
        </w:rPr>
        <w:t xml:space="preserve">*** </w:t>
      </w:r>
      <w:r>
        <w:rPr>
          <w:sz w:val="18"/>
          <w:szCs w:val="18"/>
        </w:rPr>
        <w:t>Elektromagnetinio lauko elektrinės dedamosios stipris.</w:t>
      </w:r>
    </w:p>
    <w:p>
      <w:pPr>
        <w:rPr>
          <w:sz w:val="6"/>
          <w:szCs w:val="6"/>
        </w:rPr>
      </w:pPr>
    </w:p>
    <w:p>
      <w:pPr>
        <w:contextualSpacing/>
        <w:rPr>
          <w:sz w:val="18"/>
          <w:szCs w:val="18"/>
        </w:rPr>
      </w:pPr>
      <w:r>
        <w:rPr>
          <w:b/>
          <w:caps/>
          <w:sz w:val="18"/>
          <w:szCs w:val="18"/>
        </w:rPr>
        <w:t xml:space="preserve">**** </w:t>
      </w:r>
      <w:r>
        <w:rPr>
          <w:sz w:val="18"/>
          <w:szCs w:val="18"/>
        </w:rPr>
        <w:t>Matavimo antenos nustatymas: pol – poliarizacija; h – aukštis virš žemės paviršiaus, metrais; az – azimutas, laipsniais.</w:t>
      </w:r>
    </w:p>
    <w:p>
      <w:pPr>
        <w:contextualSpacing/>
        <w:rPr>
          <w:b/>
          <w:caps/>
          <w:spacing w:val="10"/>
          <w:sz w:val="16"/>
          <w:szCs w:val="16"/>
        </w:rPr>
      </w:pPr>
    </w:p>
    <w:p>
      <w:pPr>
        <w:rPr>
          <w:sz w:val="6"/>
          <w:szCs w:val="6"/>
        </w:rPr>
      </w:pPr>
    </w:p>
    <w:p>
      <w:pPr>
        <w:contextualSpacing/>
        <w:rPr>
          <w:b/>
          <w:caps/>
          <w:spacing w:val="10"/>
          <w:szCs w:val="24"/>
        </w:rPr>
      </w:pPr>
      <w:r>
        <w:rPr>
          <w:rFonts w:ascii="Times New Roman Bold" w:hAnsi="Times New Roman Bold"/>
          <w:b/>
          <w:spacing w:val="10"/>
          <w:sz w:val="20"/>
          <w:szCs w:val="24"/>
        </w:rPr>
        <w:t xml:space="preserve">3. </w:t>
      </w:r>
      <w:r>
        <w:rPr>
          <w:b/>
          <w:caps/>
          <w:spacing w:val="10"/>
          <w:sz w:val="20"/>
        </w:rPr>
        <w:t>Naudota įranga:</w:t>
      </w:r>
    </w:p>
    <w:p>
      <w:pPr>
        <w:rPr>
          <w:sz w:val="6"/>
          <w:szCs w:val="6"/>
        </w:rPr>
      </w:pPr>
    </w:p>
    <w:tbl>
      <w:tblPr>
        <w:tblW w:w="9889" w:type="dxa"/>
        <w:tblBorders>
          <w:bottom w:val="dotted" w:sz="4" w:space="0" w:color="auto"/>
        </w:tblBorders>
        <w:tblLook w:val="00A0" w:firstRow="1" w:lastRow="0" w:firstColumn="1" w:lastColumn="0" w:noHBand="0" w:noVBand="0"/>
      </w:tblPr>
      <w:tblGrid>
        <w:gridCol w:w="4361"/>
        <w:gridCol w:w="3118"/>
        <w:gridCol w:w="2410"/>
      </w:tblGrid>
      <w:tr>
        <w:trPr>
          <w:trHeight w:val="268"/>
        </w:trPr>
        <w:tc>
          <w:tcPr>
            <w:tcW w:w="4361" w:type="dxa"/>
            <w:tcBorders>
              <w:top w:val="single" w:sz="4" w:space="0" w:color="auto"/>
              <w:left w:val="single" w:sz="4" w:space="0" w:color="auto"/>
              <w:bottom w:val="single" w:sz="4" w:space="0" w:color="auto"/>
              <w:right w:val="single" w:sz="4" w:space="0" w:color="auto"/>
            </w:tcBorders>
            <w:shd w:val="pct5" w:color="auto" w:fill="auto"/>
            <w:vAlign w:val="bottom"/>
            <w:hideMark/>
          </w:tcPr>
          <w:p>
            <w:pPr>
              <w:rPr>
                <w:sz w:val="4"/>
                <w:szCs w:val="4"/>
              </w:rPr>
            </w:pPr>
          </w:p>
          <w:p>
            <w:pPr>
              <w:jc w:val="center"/>
              <w:rPr>
                <w:sz w:val="20"/>
                <w:lang w:eastAsia="lt-LT"/>
              </w:rPr>
            </w:pPr>
            <w:r>
              <w:rPr>
                <w:sz w:val="20"/>
                <w:lang w:eastAsia="lt-LT"/>
              </w:rPr>
              <w:t>Pavadinimas</w:t>
            </w:r>
          </w:p>
        </w:tc>
        <w:tc>
          <w:tcPr>
            <w:tcW w:w="3118" w:type="dxa"/>
            <w:tcBorders>
              <w:top w:val="single" w:sz="4" w:space="0" w:color="auto"/>
              <w:left w:val="single" w:sz="4" w:space="0" w:color="auto"/>
              <w:bottom w:val="single" w:sz="4" w:space="0" w:color="auto"/>
              <w:right w:val="single" w:sz="4" w:space="0" w:color="auto"/>
            </w:tcBorders>
            <w:shd w:val="pct5" w:color="auto" w:fill="auto"/>
            <w:vAlign w:val="bottom"/>
            <w:hideMark/>
          </w:tcPr>
          <w:p>
            <w:pPr>
              <w:rPr>
                <w:sz w:val="4"/>
                <w:szCs w:val="4"/>
              </w:rPr>
            </w:pPr>
          </w:p>
          <w:p>
            <w:pPr>
              <w:jc w:val="center"/>
              <w:rPr>
                <w:sz w:val="20"/>
                <w:lang w:eastAsia="lt-LT"/>
              </w:rPr>
            </w:pPr>
            <w:r>
              <w:rPr>
                <w:sz w:val="20"/>
                <w:lang w:eastAsia="lt-LT"/>
              </w:rPr>
              <w:t>Gamintojas, tipas (modelis)</w:t>
            </w:r>
          </w:p>
        </w:tc>
        <w:tc>
          <w:tcPr>
            <w:tcW w:w="2410" w:type="dxa"/>
            <w:tcBorders>
              <w:top w:val="single" w:sz="4" w:space="0" w:color="auto"/>
              <w:left w:val="single" w:sz="4" w:space="0" w:color="auto"/>
              <w:bottom w:val="single" w:sz="4" w:space="0" w:color="auto"/>
              <w:right w:val="single" w:sz="4" w:space="0" w:color="auto"/>
            </w:tcBorders>
            <w:shd w:val="pct5" w:color="auto" w:fill="auto"/>
            <w:vAlign w:val="bottom"/>
            <w:hideMark/>
          </w:tcPr>
          <w:p>
            <w:pPr>
              <w:rPr>
                <w:sz w:val="4"/>
                <w:szCs w:val="4"/>
              </w:rPr>
            </w:pPr>
          </w:p>
          <w:p>
            <w:pPr>
              <w:jc w:val="center"/>
              <w:rPr>
                <w:sz w:val="20"/>
                <w:lang w:eastAsia="lt-LT"/>
              </w:rPr>
            </w:pPr>
            <w:r>
              <w:rPr>
                <w:sz w:val="20"/>
                <w:lang w:eastAsia="lt-LT"/>
              </w:rPr>
              <w:t>Serijos Nr.</w:t>
            </w:r>
          </w:p>
        </w:tc>
      </w:tr>
      <w:tr>
        <w:trPr>
          <w:trHeight w:val="268"/>
        </w:trPr>
        <w:tc>
          <w:tcPr>
            <w:tcW w:w="436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r>
      <w:tr>
        <w:trPr>
          <w:trHeight w:val="268"/>
        </w:trPr>
        <w:tc>
          <w:tcPr>
            <w:tcW w:w="436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r>
      <w:tr>
        <w:trPr>
          <w:trHeight w:val="268"/>
        </w:trPr>
        <w:tc>
          <w:tcPr>
            <w:tcW w:w="4361"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pPr>
              <w:rPr>
                <w:sz w:val="2"/>
                <w:szCs w:val="2"/>
              </w:rPr>
            </w:pPr>
          </w:p>
          <w:p>
            <w:pPr>
              <w:jc w:val="center"/>
              <w:rPr>
                <w:sz w:val="20"/>
                <w:lang w:eastAsia="lt-LT"/>
              </w:rPr>
            </w:pPr>
          </w:p>
        </w:tc>
      </w:tr>
    </w:tbl>
    <w:p>
      <w:pPr>
        <w:rPr>
          <w:sz w:val="18"/>
          <w:szCs w:val="18"/>
        </w:rPr>
      </w:pPr>
    </w:p>
    <w:p>
      <w:pPr>
        <w:contextualSpacing/>
        <w:rPr>
          <w:b/>
          <w:caps/>
          <w:spacing w:val="10"/>
          <w:sz w:val="20"/>
        </w:rPr>
      </w:pPr>
      <w:r>
        <w:rPr>
          <w:rFonts w:ascii="Times New Roman Bold" w:hAnsi="Times New Roman Bold"/>
          <w:b/>
          <w:spacing w:val="10"/>
          <w:sz w:val="20"/>
        </w:rPr>
        <w:t xml:space="preserve">4. </w:t>
      </w:r>
      <w:r>
        <w:rPr>
          <w:b/>
          <w:caps/>
          <w:spacing w:val="10"/>
          <w:sz w:val="20"/>
        </w:rPr>
        <w:t>matavO:</w:t>
      </w:r>
    </w:p>
    <w:p>
      <w:pPr>
        <w:rPr>
          <w:sz w:val="10"/>
          <w:szCs w:val="10"/>
        </w:rPr>
      </w:pPr>
    </w:p>
    <w:tbl>
      <w:tblPr>
        <w:tblW w:w="0" w:type="auto"/>
        <w:tblLook w:val="00A0" w:firstRow="1" w:lastRow="0" w:firstColumn="1" w:lastColumn="0" w:noHBand="0" w:noVBand="0"/>
      </w:tblPr>
      <w:tblGrid>
        <w:gridCol w:w="4134"/>
        <w:gridCol w:w="284"/>
        <w:gridCol w:w="1953"/>
        <w:gridCol w:w="270"/>
        <w:gridCol w:w="3072"/>
      </w:tblGrid>
      <w:tr>
        <w:tc>
          <w:tcPr>
            <w:tcW w:w="4505" w:type="dxa"/>
            <w:gridSpan w:val="2"/>
          </w:tcPr>
          <w:p>
            <w:pPr>
              <w:jc w:val="center"/>
              <w:rPr>
                <w:sz w:val="20"/>
                <w:lang w:eastAsia="lt-LT"/>
              </w:rPr>
            </w:pPr>
          </w:p>
        </w:tc>
        <w:tc>
          <w:tcPr>
            <w:tcW w:w="2253" w:type="dxa"/>
            <w:gridSpan w:val="2"/>
          </w:tcPr>
          <w:p>
            <w:pPr>
              <w:jc w:val="center"/>
              <w:rPr>
                <w:sz w:val="20"/>
                <w:lang w:eastAsia="lt-LT"/>
              </w:rPr>
            </w:pPr>
          </w:p>
        </w:tc>
        <w:tc>
          <w:tcPr>
            <w:tcW w:w="3131" w:type="dxa"/>
          </w:tcPr>
          <w:p>
            <w:pPr>
              <w:jc w:val="center"/>
              <w:rPr>
                <w:sz w:val="20"/>
                <w:lang w:eastAsia="lt-LT"/>
              </w:rPr>
            </w:pPr>
          </w:p>
        </w:tc>
      </w:tr>
      <w:tr>
        <w:tc>
          <w:tcPr>
            <w:tcW w:w="4219" w:type="dxa"/>
            <w:tcBorders>
              <w:top w:val="dotted" w:sz="4" w:space="0" w:color="auto"/>
              <w:left w:val="nil"/>
              <w:bottom w:val="nil"/>
              <w:right w:val="nil"/>
            </w:tcBorders>
          </w:tcPr>
          <w:p>
            <w:pPr>
              <w:jc w:val="center"/>
              <w:rPr>
                <w:i/>
                <w:sz w:val="10"/>
                <w:szCs w:val="10"/>
                <w:lang w:eastAsia="lt-LT"/>
              </w:rPr>
            </w:pPr>
          </w:p>
        </w:tc>
        <w:tc>
          <w:tcPr>
            <w:tcW w:w="286" w:type="dxa"/>
          </w:tcPr>
          <w:p>
            <w:pPr>
              <w:jc w:val="center"/>
              <w:rPr>
                <w:i/>
                <w:sz w:val="10"/>
                <w:szCs w:val="10"/>
                <w:lang w:eastAsia="lt-LT"/>
              </w:rPr>
            </w:pPr>
          </w:p>
        </w:tc>
        <w:tc>
          <w:tcPr>
            <w:tcW w:w="1982" w:type="dxa"/>
            <w:tcBorders>
              <w:top w:val="dotted" w:sz="4" w:space="0" w:color="auto"/>
              <w:left w:val="nil"/>
              <w:bottom w:val="nil"/>
              <w:right w:val="nil"/>
            </w:tcBorders>
          </w:tcPr>
          <w:p>
            <w:pPr>
              <w:jc w:val="center"/>
              <w:rPr>
                <w:i/>
                <w:sz w:val="10"/>
                <w:szCs w:val="10"/>
                <w:lang w:eastAsia="lt-LT"/>
              </w:rPr>
            </w:pPr>
          </w:p>
        </w:tc>
        <w:tc>
          <w:tcPr>
            <w:tcW w:w="271" w:type="dxa"/>
          </w:tcPr>
          <w:p>
            <w:pPr>
              <w:jc w:val="center"/>
              <w:rPr>
                <w:i/>
                <w:sz w:val="10"/>
                <w:szCs w:val="10"/>
                <w:lang w:eastAsia="lt-LT"/>
              </w:rPr>
            </w:pPr>
          </w:p>
        </w:tc>
        <w:tc>
          <w:tcPr>
            <w:tcW w:w="3131" w:type="dxa"/>
            <w:tcBorders>
              <w:top w:val="dotted" w:sz="4" w:space="0" w:color="auto"/>
              <w:left w:val="nil"/>
              <w:bottom w:val="nil"/>
              <w:right w:val="nil"/>
            </w:tcBorders>
          </w:tcPr>
          <w:p>
            <w:pPr>
              <w:jc w:val="center"/>
              <w:rPr>
                <w:i/>
                <w:sz w:val="10"/>
                <w:szCs w:val="10"/>
                <w:lang w:eastAsia="lt-LT"/>
              </w:rPr>
            </w:pPr>
          </w:p>
        </w:tc>
      </w:tr>
      <w:tr>
        <w:tc>
          <w:tcPr>
            <w:tcW w:w="4219" w:type="dxa"/>
            <w:tcBorders>
              <w:top w:val="nil"/>
              <w:left w:val="nil"/>
              <w:bottom w:val="dotted" w:sz="4" w:space="0" w:color="auto"/>
              <w:right w:val="nil"/>
            </w:tcBorders>
          </w:tcPr>
          <w:p>
            <w:pPr>
              <w:rPr>
                <w:sz w:val="4"/>
                <w:szCs w:val="4"/>
              </w:rPr>
            </w:pPr>
          </w:p>
          <w:p>
            <w:pPr>
              <w:jc w:val="center"/>
              <w:rPr>
                <w:sz w:val="20"/>
                <w:lang w:eastAsia="lt-LT"/>
              </w:rPr>
            </w:pPr>
          </w:p>
        </w:tc>
        <w:tc>
          <w:tcPr>
            <w:tcW w:w="286" w:type="dxa"/>
          </w:tcPr>
          <w:p>
            <w:pPr>
              <w:rPr>
                <w:sz w:val="4"/>
                <w:szCs w:val="4"/>
              </w:rPr>
            </w:pPr>
          </w:p>
          <w:p>
            <w:pPr>
              <w:jc w:val="center"/>
              <w:rPr>
                <w:sz w:val="20"/>
                <w:lang w:eastAsia="lt-LT"/>
              </w:rPr>
            </w:pPr>
          </w:p>
        </w:tc>
        <w:tc>
          <w:tcPr>
            <w:tcW w:w="1982" w:type="dxa"/>
            <w:tcBorders>
              <w:top w:val="nil"/>
              <w:left w:val="nil"/>
              <w:bottom w:val="dotted" w:sz="4" w:space="0" w:color="auto"/>
              <w:right w:val="nil"/>
            </w:tcBorders>
          </w:tcPr>
          <w:p>
            <w:pPr>
              <w:rPr>
                <w:sz w:val="4"/>
                <w:szCs w:val="4"/>
              </w:rPr>
            </w:pPr>
          </w:p>
          <w:p>
            <w:pPr>
              <w:jc w:val="center"/>
              <w:rPr>
                <w:sz w:val="20"/>
                <w:lang w:eastAsia="lt-LT"/>
              </w:rPr>
            </w:pPr>
          </w:p>
        </w:tc>
        <w:tc>
          <w:tcPr>
            <w:tcW w:w="271" w:type="dxa"/>
          </w:tcPr>
          <w:p>
            <w:pPr>
              <w:rPr>
                <w:sz w:val="4"/>
                <w:szCs w:val="4"/>
              </w:rPr>
            </w:pPr>
          </w:p>
          <w:p>
            <w:pPr>
              <w:jc w:val="center"/>
              <w:rPr>
                <w:sz w:val="20"/>
                <w:lang w:eastAsia="lt-LT"/>
              </w:rPr>
            </w:pPr>
          </w:p>
        </w:tc>
        <w:tc>
          <w:tcPr>
            <w:tcW w:w="3131" w:type="dxa"/>
            <w:tcBorders>
              <w:top w:val="nil"/>
              <w:left w:val="nil"/>
              <w:bottom w:val="dotted" w:sz="4" w:space="0" w:color="auto"/>
              <w:right w:val="nil"/>
            </w:tcBorders>
          </w:tcPr>
          <w:p>
            <w:pPr>
              <w:rPr>
                <w:sz w:val="4"/>
                <w:szCs w:val="4"/>
              </w:rPr>
            </w:pPr>
          </w:p>
          <w:p>
            <w:pPr>
              <w:jc w:val="center"/>
              <w:rPr>
                <w:sz w:val="20"/>
                <w:lang w:eastAsia="lt-LT"/>
              </w:rPr>
            </w:pPr>
          </w:p>
        </w:tc>
      </w:tr>
      <w:tr>
        <w:tc>
          <w:tcPr>
            <w:tcW w:w="4219" w:type="dxa"/>
            <w:tcBorders>
              <w:top w:val="dotted" w:sz="4" w:space="0" w:color="auto"/>
              <w:left w:val="nil"/>
              <w:bottom w:val="nil"/>
              <w:right w:val="nil"/>
            </w:tcBorders>
            <w:hideMark/>
          </w:tcPr>
          <w:p>
            <w:pPr>
              <w:jc w:val="center"/>
              <w:rPr>
                <w:sz w:val="18"/>
                <w:szCs w:val="18"/>
                <w:lang w:eastAsia="lt-LT"/>
              </w:rPr>
            </w:pPr>
            <w:r>
              <w:rPr>
                <w:sz w:val="18"/>
                <w:szCs w:val="18"/>
                <w:lang w:eastAsia="lt-LT"/>
              </w:rPr>
              <w:t>(pareigos)</w:t>
            </w:r>
          </w:p>
        </w:tc>
        <w:tc>
          <w:tcPr>
            <w:tcW w:w="286" w:type="dxa"/>
          </w:tcPr>
          <w:p>
            <w:pPr>
              <w:jc w:val="center"/>
              <w:rPr>
                <w:sz w:val="18"/>
                <w:szCs w:val="18"/>
                <w:lang w:eastAsia="lt-LT"/>
              </w:rPr>
            </w:pPr>
          </w:p>
        </w:tc>
        <w:tc>
          <w:tcPr>
            <w:tcW w:w="1982" w:type="dxa"/>
            <w:tcBorders>
              <w:top w:val="dotted" w:sz="4" w:space="0" w:color="auto"/>
              <w:left w:val="nil"/>
              <w:bottom w:val="nil"/>
              <w:right w:val="nil"/>
            </w:tcBorders>
            <w:hideMark/>
          </w:tcPr>
          <w:p>
            <w:pPr>
              <w:jc w:val="center"/>
              <w:rPr>
                <w:sz w:val="18"/>
                <w:szCs w:val="18"/>
                <w:lang w:eastAsia="lt-LT"/>
              </w:rPr>
            </w:pPr>
            <w:r>
              <w:rPr>
                <w:sz w:val="18"/>
                <w:szCs w:val="18"/>
                <w:lang w:eastAsia="lt-LT"/>
              </w:rPr>
              <w:t>(parašas)</w:t>
            </w:r>
          </w:p>
        </w:tc>
        <w:tc>
          <w:tcPr>
            <w:tcW w:w="271" w:type="dxa"/>
          </w:tcPr>
          <w:p>
            <w:pPr>
              <w:jc w:val="center"/>
              <w:rPr>
                <w:sz w:val="18"/>
                <w:szCs w:val="18"/>
                <w:lang w:eastAsia="lt-LT"/>
              </w:rPr>
            </w:pPr>
          </w:p>
        </w:tc>
        <w:tc>
          <w:tcPr>
            <w:tcW w:w="3131" w:type="dxa"/>
            <w:tcBorders>
              <w:top w:val="dotted" w:sz="4" w:space="0" w:color="auto"/>
              <w:left w:val="nil"/>
              <w:bottom w:val="nil"/>
              <w:right w:val="nil"/>
            </w:tcBorders>
            <w:hideMark/>
          </w:tcPr>
          <w:p>
            <w:pPr>
              <w:jc w:val="center"/>
              <w:rPr>
                <w:sz w:val="18"/>
                <w:szCs w:val="18"/>
                <w:lang w:eastAsia="lt-LT"/>
              </w:rPr>
            </w:pPr>
            <w:r>
              <w:rPr>
                <w:sz w:val="18"/>
                <w:szCs w:val="18"/>
                <w:lang w:eastAsia="lt-LT"/>
              </w:rPr>
              <w:t>(vardas, pavardė)</w:t>
            </w:r>
          </w:p>
        </w:tc>
      </w:tr>
    </w:tbl>
    <w:p>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aed1a00401911e58568ed613eb39a73">
        <w:r w:rsidRPr="00532B9F">
          <w:rPr>
            <w:rFonts w:ascii="Times New Roman" w:eastAsia="MS Mincho" w:hAnsi="Times New Roman"/>
            <w:sz w:val="20"/>
            <w:iCs/>
            <w:color w:val="0000FF" w:themeColor="hyperlink"/>
            <w:u w:val="single"/>
          </w:rPr>
          <w:t>1V-941</w:t>
        </w:r>
      </w:fldSimple>
      <w:r>
        <w:rPr>
          <w:rFonts w:ascii="Times New Roman" w:eastAsia="MS Mincho" w:hAnsi="Times New Roman"/>
          <w:sz w:val="20"/>
          <w:iCs/>
        </w:rPr>
        <w:t>,
2015-08-11,
paskelbta TAR 2015-08-11, i. k. 2015-12216                </w:t>
      </w:r>
    </w:p>
    <w:p>
      <w:pPr>
        <w:jc w:val="both"/>
        <w:rPr>
          <w:rFonts w:ascii="Times New Roman" w:hAnsi="Times New Roman"/>
        </w:rPr>
      </w:pPr>
      <w:r>
        <w:rPr>
          <w:rFonts w:ascii="Times New Roman" w:hAnsi="Times New Roman"/>
          <w:sz w:val="20"/>
        </w:rPr>
        <w:t>Dėl Lietuvos Respublikos ryšių reguliavimo tarnybos direktoriaus 2005 m. balandžio 1 d. įsakymo Nr. 1V-311 „Dėl Elektromagnetinio lauko stiprio matavimo radijo stebėsenos stotyse taisyklių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footerReference w:type="even" r:id="rId2"/>
      <w:footerReference w:type="default" r:id="rId3"/>
      <w:headerReference w:type="first" r:id="rId4"/>
      <w:footerReference w:type="first" r:id="rId5"/>
      <w:pgSz w:w="11907" w:h="16839"/>
      <w:pgMar w:top="1134" w:right="709" w:bottom="993" w:left="1701" w:header="567" w:footer="567" w:gutter="0"/>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0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90F3"/>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1.xml"/>
  <Relationship Id="rId10" Type="http://schemas.openxmlformats.org/officeDocument/2006/relationships/hyperlink" TargetMode="External" Target="https://www.e-tar.lt/portal/lt/legalAct/TAR.A3C0EA6B2203"/>
  <Relationship Id="rId11" Type="http://schemas.openxmlformats.org/officeDocument/2006/relationships/settings" Target="settings.xml"/>
  <Relationship Id="rId12" Type="http://schemas.openxmlformats.org/officeDocument/2006/relationships/styles" Target="styles.xml"/>
  <Relationship Id="rId13" Type="http://schemas.microsoft.com/office/2007/relationships/stylesWithEffects" Target="stylesWithEffects.xml"/>
  <Relationship Id="rId14" Type="http://schemas.openxmlformats.org/officeDocument/2006/relationships/theme" Target="theme/theme1.xml"/>
  <Relationship Id="rId15" Type="http://schemas.openxmlformats.org/officeDocument/2006/relationships/webSettings" Target="webSettings.xml"/>
  <Relationship Id="rId16" Type="http://schemas.openxmlformats.org/officeDocument/2006/relationships/image" Target="media/image1.wmf"/>
  <Relationship Id="rId17" Type="http://schemas.openxmlformats.org/officeDocument/2006/relationships/oleObject" Target="embeddings/oleObject1.bin"/>
  <Relationship Id="rId18" Type="http://schemas.openxmlformats.org/officeDocument/2006/relationships/image" Target="media/image2.wmf"/>
  <Relationship Id="rId19" Type="http://schemas.openxmlformats.org/officeDocument/2006/relationships/oleObject" Target="embeddings/oleObject2.bin"/>
  <Relationship Id="rId2" Type="http://schemas.openxmlformats.org/officeDocument/2006/relationships/footer" Target="footer1.xml"/>
  <Relationship Id="rId20" Type="http://schemas.openxmlformats.org/officeDocument/2006/relationships/image" Target="media/image3.png"/>
  <Relationship Id="rId3" Type="http://schemas.openxmlformats.org/officeDocument/2006/relationships/footer" Target="footer2.xml"/>
  <Relationship Id="rId4" Type="http://schemas.openxmlformats.org/officeDocument/2006/relationships/header" Target="header2.xml"/>
  <Relationship Id="rId5" Type="http://schemas.openxmlformats.org/officeDocument/2006/relationships/footer" Target="footer3.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footnotes" Target="footnotes.xml"/>
  <Relationship Id="rId9" Type="http://schemas.openxmlformats.org/officeDocument/2006/relationships/hyperlink" TargetMode="External" Target="https://www.e-tar.lt/portal/lt/legalAct/TAR.82D8168D30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4</TotalTime>
  <Pages>11</Pages>
  <Words>14564</Words>
  <Characters>8302</Characters>
  <Application>Microsoft Office Word</Application>
  <DocSecurity>0</DocSecurity>
  <Lines>69</Lines>
  <Paragraphs>45</Paragraphs>
  <ScaleCrop>false</ScaleCrop>
  <Company/>
  <LinksUpToDate>false</LinksUpToDate>
  <CharactersWithSpaces>22821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2015-10-02T22:42:00Z</dcterms:created>
  <dc:creator>User</dc:creator>
  <lastModifiedBy>PAVKŠTELO Julita</lastModifiedBy>
  <dcterms:modified xsi:type="dcterms:W3CDTF">2016-06-07T12:48:00Z</dcterms:modified>
  <revision>4</revision>
</coreProperties>
</file>