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D65" w:rsidRPr="00C47098" w:rsidRDefault="00031D65" w:rsidP="00031D65">
      <w:pPr>
        <w:pStyle w:val="Header"/>
        <w:rPr>
          <w:szCs w:val="24"/>
        </w:rPr>
      </w:pPr>
      <w:r w:rsidRPr="00C47098">
        <w:rPr>
          <w:noProof/>
          <w:szCs w:val="24"/>
          <w:lang w:val="en-US"/>
        </w:rPr>
        <w:drawing>
          <wp:anchor distT="0" distB="0" distL="114300" distR="114300" simplePos="0" relativeHeight="251659264" behindDoc="0" locked="0" layoutInCell="0" allowOverlap="1" wp14:anchorId="7B7C0E77" wp14:editId="6143DCF8">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rsidR="00031D65" w:rsidRPr="00C47098" w:rsidRDefault="00031D65" w:rsidP="00031D65">
      <w:pPr>
        <w:pStyle w:val="Header"/>
        <w:rPr>
          <w:szCs w:val="24"/>
        </w:rPr>
      </w:pPr>
    </w:p>
    <w:p w:rsidR="00031D65" w:rsidRPr="00C47098" w:rsidRDefault="00031D65" w:rsidP="00031D65">
      <w:pPr>
        <w:pStyle w:val="Header"/>
        <w:rPr>
          <w:szCs w:val="24"/>
        </w:rPr>
      </w:pPr>
    </w:p>
    <w:p w:rsidR="00031D65" w:rsidRPr="00C47098" w:rsidRDefault="00031D65" w:rsidP="00031D65">
      <w:pPr>
        <w:pStyle w:val="Header"/>
        <w:tabs>
          <w:tab w:val="clear" w:pos="4320"/>
          <w:tab w:val="clear" w:pos="8640"/>
          <w:tab w:val="left" w:pos="1725"/>
        </w:tabs>
        <w:rPr>
          <w:szCs w:val="24"/>
        </w:rPr>
      </w:pPr>
      <w:r w:rsidRPr="00C47098">
        <w:rPr>
          <w:szCs w:val="24"/>
        </w:rPr>
        <w:tab/>
      </w:r>
    </w:p>
    <w:p w:rsidR="00031D65" w:rsidRPr="00C47098" w:rsidRDefault="00031D65" w:rsidP="00031D65">
      <w:pPr>
        <w:pStyle w:val="Header"/>
        <w:jc w:val="center"/>
        <w:rPr>
          <w:b/>
          <w:caps/>
          <w:szCs w:val="24"/>
        </w:rPr>
      </w:pPr>
      <w:r w:rsidRPr="00C47098">
        <w:rPr>
          <w:b/>
          <w:caps/>
          <w:szCs w:val="24"/>
        </w:rPr>
        <w:t>LIETUVOS RESPUBLIKOS</w:t>
      </w:r>
    </w:p>
    <w:p w:rsidR="00031D65" w:rsidRPr="00C47098" w:rsidRDefault="00031D65" w:rsidP="00031D65">
      <w:pPr>
        <w:pStyle w:val="Header"/>
        <w:jc w:val="center"/>
        <w:rPr>
          <w:b/>
          <w:szCs w:val="24"/>
        </w:rPr>
      </w:pPr>
      <w:r w:rsidRPr="00C47098">
        <w:rPr>
          <w:b/>
          <w:szCs w:val="24"/>
        </w:rPr>
        <w:t>RYŠIŲ REGULIAVIMO TARNYBOS</w:t>
      </w:r>
    </w:p>
    <w:p w:rsidR="00031D65" w:rsidRPr="00C47098" w:rsidRDefault="00031D65" w:rsidP="00031D65">
      <w:pPr>
        <w:pStyle w:val="Header"/>
        <w:jc w:val="center"/>
        <w:rPr>
          <w:b/>
          <w:szCs w:val="24"/>
        </w:rPr>
      </w:pPr>
      <w:r w:rsidRPr="00C47098">
        <w:rPr>
          <w:b/>
          <w:szCs w:val="24"/>
        </w:rPr>
        <w:t>DIREKTORIUS</w:t>
      </w:r>
    </w:p>
    <w:p w:rsidR="00031D65" w:rsidRPr="00C47098" w:rsidRDefault="00031D65" w:rsidP="00031D65">
      <w:pPr>
        <w:pStyle w:val="Header"/>
        <w:tabs>
          <w:tab w:val="clear" w:pos="4320"/>
          <w:tab w:val="clear" w:pos="8640"/>
        </w:tabs>
        <w:rPr>
          <w:b/>
          <w:caps/>
          <w:szCs w:val="24"/>
        </w:rPr>
      </w:pPr>
    </w:p>
    <w:p w:rsidR="00031D65" w:rsidRPr="00C47098" w:rsidRDefault="00031D65" w:rsidP="00031D65">
      <w:pPr>
        <w:pStyle w:val="Header"/>
        <w:jc w:val="center"/>
        <w:rPr>
          <w:b/>
          <w:caps/>
          <w:szCs w:val="24"/>
        </w:rPr>
      </w:pPr>
      <w:r w:rsidRPr="00C47098">
        <w:rPr>
          <w:b/>
          <w:caps/>
          <w:szCs w:val="24"/>
        </w:rPr>
        <w:t>įsakyMAS</w:t>
      </w:r>
    </w:p>
    <w:p w:rsidR="00031D65" w:rsidRPr="00C47098" w:rsidRDefault="00031D65" w:rsidP="00031D65">
      <w:pPr>
        <w:pStyle w:val="Header"/>
        <w:tabs>
          <w:tab w:val="clear" w:pos="4320"/>
          <w:tab w:val="clear" w:pos="8640"/>
        </w:tabs>
        <w:jc w:val="center"/>
        <w:rPr>
          <w:b/>
          <w:szCs w:val="24"/>
        </w:rPr>
      </w:pPr>
      <w:r w:rsidRPr="00C47098">
        <w:rPr>
          <w:b/>
          <w:caps/>
          <w:szCs w:val="24"/>
        </w:rPr>
        <w:t xml:space="preserve">DĖL </w:t>
      </w:r>
      <w:r>
        <w:rPr>
          <w:b/>
          <w:caps/>
          <w:szCs w:val="24"/>
        </w:rPr>
        <w:t>A</w:t>
      </w:r>
      <w:r>
        <w:rPr>
          <w:b/>
          <w:caps/>
          <w:szCs w:val="24"/>
        </w:rPr>
        <w:t>.</w:t>
      </w:r>
      <w:r>
        <w:rPr>
          <w:b/>
          <w:caps/>
          <w:szCs w:val="24"/>
        </w:rPr>
        <w:t xml:space="preserve"> K</w:t>
      </w:r>
      <w:r>
        <w:rPr>
          <w:b/>
          <w:caps/>
          <w:szCs w:val="24"/>
        </w:rPr>
        <w:t>.</w:t>
      </w:r>
      <w:r w:rsidRPr="00C47098">
        <w:rPr>
          <w:b/>
          <w:szCs w:val="24"/>
        </w:rPr>
        <w:t xml:space="preserve"> 2016 M. </w:t>
      </w:r>
      <w:r>
        <w:rPr>
          <w:b/>
          <w:szCs w:val="24"/>
        </w:rPr>
        <w:t>LAPKRIČIO 14</w:t>
      </w:r>
      <w:r w:rsidRPr="00C47098">
        <w:rPr>
          <w:b/>
          <w:szCs w:val="24"/>
        </w:rPr>
        <w:t xml:space="preserve"> D. PRAŠYMO </w:t>
      </w:r>
    </w:p>
    <w:p w:rsidR="00031D65" w:rsidRPr="00C47098" w:rsidRDefault="00031D65" w:rsidP="00031D65">
      <w:pPr>
        <w:pStyle w:val="Header"/>
        <w:tabs>
          <w:tab w:val="clear" w:pos="4320"/>
          <w:tab w:val="clear" w:pos="8640"/>
        </w:tabs>
        <w:jc w:val="center"/>
        <w:rPr>
          <w:b/>
          <w:szCs w:val="24"/>
        </w:rPr>
      </w:pPr>
    </w:p>
    <w:p w:rsidR="00031D65" w:rsidRPr="00C47098" w:rsidRDefault="00031D65" w:rsidP="00031D65">
      <w:pPr>
        <w:pStyle w:val="Header"/>
        <w:tabs>
          <w:tab w:val="clear" w:pos="4320"/>
          <w:tab w:val="clear" w:pos="8640"/>
          <w:tab w:val="left" w:pos="709"/>
        </w:tabs>
        <w:jc w:val="center"/>
        <w:rPr>
          <w:szCs w:val="24"/>
        </w:rPr>
      </w:pPr>
      <w:r w:rsidRPr="00C47098">
        <w:rPr>
          <w:szCs w:val="24"/>
        </w:rPr>
        <w:t>201</w:t>
      </w:r>
      <w:r>
        <w:rPr>
          <w:szCs w:val="24"/>
        </w:rPr>
        <w:t>7</w:t>
      </w:r>
      <w:r w:rsidRPr="00C47098">
        <w:rPr>
          <w:szCs w:val="24"/>
        </w:rPr>
        <w:t xml:space="preserve"> m. </w:t>
      </w:r>
      <w:r>
        <w:rPr>
          <w:szCs w:val="24"/>
        </w:rPr>
        <w:t>sausio</w:t>
      </w:r>
      <w:r w:rsidRPr="00C47098">
        <w:rPr>
          <w:szCs w:val="24"/>
        </w:rPr>
        <w:t xml:space="preserve"> </w:t>
      </w:r>
      <w:r>
        <w:rPr>
          <w:szCs w:val="24"/>
        </w:rPr>
        <w:t>18</w:t>
      </w:r>
      <w:r w:rsidRPr="00C47098">
        <w:rPr>
          <w:szCs w:val="24"/>
        </w:rPr>
        <w:t xml:space="preserve"> d. Nr. 1V-</w:t>
      </w:r>
      <w:r>
        <w:rPr>
          <w:szCs w:val="24"/>
        </w:rPr>
        <w:t>49</w:t>
      </w:r>
      <w:r w:rsidRPr="00C47098">
        <w:rPr>
          <w:szCs w:val="24"/>
        </w:rPr>
        <w:t xml:space="preserve"> </w:t>
      </w:r>
    </w:p>
    <w:p w:rsidR="00031D65" w:rsidRPr="00C47098" w:rsidRDefault="00031D65" w:rsidP="00031D65">
      <w:pPr>
        <w:pStyle w:val="Header"/>
        <w:tabs>
          <w:tab w:val="clear" w:pos="4320"/>
          <w:tab w:val="clear" w:pos="8640"/>
        </w:tabs>
        <w:jc w:val="center"/>
        <w:rPr>
          <w:szCs w:val="24"/>
        </w:rPr>
      </w:pPr>
      <w:r w:rsidRPr="00C47098">
        <w:rPr>
          <w:szCs w:val="24"/>
        </w:rPr>
        <w:t>Vilnius</w:t>
      </w:r>
    </w:p>
    <w:p w:rsidR="00031D65" w:rsidRPr="00C47098" w:rsidRDefault="00031D65" w:rsidP="00031D65">
      <w:pPr>
        <w:pStyle w:val="Header"/>
        <w:tabs>
          <w:tab w:val="clear" w:pos="4320"/>
          <w:tab w:val="clear" w:pos="8640"/>
        </w:tabs>
        <w:jc w:val="center"/>
        <w:rPr>
          <w:b/>
          <w:szCs w:val="24"/>
        </w:rPr>
      </w:pPr>
    </w:p>
    <w:p w:rsidR="00031D65" w:rsidRPr="00045F71" w:rsidRDefault="00031D65" w:rsidP="00031D65">
      <w:pPr>
        <w:pStyle w:val="Header"/>
        <w:ind w:firstLine="709"/>
        <w:jc w:val="both"/>
        <w:rPr>
          <w:szCs w:val="24"/>
        </w:rPr>
      </w:pPr>
      <w:r w:rsidRPr="00045F71">
        <w:rPr>
          <w:szCs w:val="24"/>
        </w:rPr>
        <w:t>Vadovaudamasis Lietuvos Respublikos elektroninių ryšių įstatymo (toliau – ERĮ) 36 straipsniu ir Vartojimo ginčų neteisminio sprendimo procedūros taisyklių, patvirtintų Lietuvos Respublikos teisingumo ministro 2015 m. gruodžio 30 d. įsakymu Nr. 1R-382 „Dėl Vartojimo ginčų neteisminio sprendimo procedūros taisyklių patvirtinimo“, (toliau – Vartojimo ginčų taisyklės) 40.2 papunkčiu,</w:t>
      </w:r>
      <w:r w:rsidRPr="00045F71">
        <w:rPr>
          <w:b/>
          <w:szCs w:val="24"/>
        </w:rPr>
        <w:t xml:space="preserve"> </w:t>
      </w:r>
      <w:r w:rsidRPr="00045F71">
        <w:rPr>
          <w:szCs w:val="24"/>
        </w:rPr>
        <w:t xml:space="preserve">išnagrinėjęs </w:t>
      </w:r>
      <w:r w:rsidRPr="00045F71">
        <w:rPr>
          <w:bCs/>
          <w:szCs w:val="24"/>
        </w:rPr>
        <w:t>vartotojo</w:t>
      </w:r>
      <w:r w:rsidRPr="00045F71">
        <w:rPr>
          <w:szCs w:val="24"/>
        </w:rPr>
        <w:t xml:space="preserve"> A</w:t>
      </w:r>
      <w:r>
        <w:rPr>
          <w:szCs w:val="24"/>
        </w:rPr>
        <w:t>.</w:t>
      </w:r>
      <w:r w:rsidRPr="00045F71">
        <w:rPr>
          <w:szCs w:val="24"/>
        </w:rPr>
        <w:t xml:space="preserve"> K</w:t>
      </w:r>
      <w:r w:rsidR="0000624F">
        <w:rPr>
          <w:szCs w:val="24"/>
        </w:rPr>
        <w:t>.</w:t>
      </w:r>
      <w:r w:rsidRPr="00045F71">
        <w:rPr>
          <w:szCs w:val="24"/>
        </w:rPr>
        <w:t xml:space="preserve"> (</w:t>
      </w:r>
      <w:r w:rsidR="0000624F">
        <w:rPr>
          <w:szCs w:val="24"/>
        </w:rPr>
        <w:t>duomenys neskelbtini</w:t>
      </w:r>
      <w:r w:rsidRPr="00045F71">
        <w:rPr>
          <w:szCs w:val="24"/>
        </w:rPr>
        <w:t>) (toliau – Vartotojas) 2016 m. lapkričio 14 d. prašymą nagrinėti ginčą (toliau – prašymas) ir elektroninių ryšių paslaugų teikėjo AB Lietuvos radijo ir televizijos centro</w:t>
      </w:r>
      <w:r w:rsidRPr="00045F71">
        <w:rPr>
          <w:color w:val="000000"/>
          <w:szCs w:val="24"/>
        </w:rPr>
        <w:t xml:space="preserve"> </w:t>
      </w:r>
      <w:r w:rsidRPr="00045F71">
        <w:rPr>
          <w:szCs w:val="24"/>
        </w:rPr>
        <w:t xml:space="preserve">(Sausio 13-osios g. 10, 04347 Vilnius, įmonės kodas 120505210) (toliau – Teikėjas) 2016 m. gruodžio 1 d. </w:t>
      </w:r>
      <w:r w:rsidRPr="00045F71">
        <w:rPr>
          <w:bCs/>
          <w:color w:val="000000"/>
          <w:szCs w:val="24"/>
        </w:rPr>
        <w:t xml:space="preserve">raštą Nr. 5A(KAS)-199/2.8-31 (toliau – raštas), </w:t>
      </w:r>
      <w:r w:rsidRPr="00045F71">
        <w:rPr>
          <w:color w:val="000000"/>
          <w:szCs w:val="24"/>
        </w:rPr>
        <w:t>kitą ginčo nagrinėjimo medžiagą</w:t>
      </w:r>
      <w:r w:rsidRPr="00045F71">
        <w:rPr>
          <w:szCs w:val="24"/>
        </w:rPr>
        <w:t>:</w:t>
      </w:r>
    </w:p>
    <w:p w:rsidR="00031D65" w:rsidRPr="00045F71" w:rsidRDefault="00031D65" w:rsidP="00031D65">
      <w:pPr>
        <w:pStyle w:val="Standard"/>
        <w:ind w:firstLine="720"/>
        <w:jc w:val="both"/>
        <w:rPr>
          <w:rFonts w:cs="Times New Roman"/>
          <w:bCs/>
        </w:rPr>
      </w:pPr>
      <w:r w:rsidRPr="00045F71">
        <w:rPr>
          <w:rFonts w:cs="Times New Roman"/>
          <w:bCs/>
        </w:rPr>
        <w:t>1.</w:t>
      </w:r>
      <w:r w:rsidRPr="00045F71">
        <w:rPr>
          <w:rFonts w:cs="Times New Roman"/>
          <w:bCs/>
          <w:spacing w:val="40"/>
        </w:rPr>
        <w:t xml:space="preserve"> </w:t>
      </w:r>
      <w:r w:rsidRPr="00045F71">
        <w:rPr>
          <w:rFonts w:cs="Times New Roman"/>
          <w:bCs/>
          <w:spacing w:val="80"/>
        </w:rPr>
        <w:t>Nustačia</w:t>
      </w:r>
      <w:r w:rsidRPr="00045F71">
        <w:rPr>
          <w:rFonts w:cs="Times New Roman"/>
          <w:bCs/>
        </w:rPr>
        <w:t xml:space="preserve">u, kad </w:t>
      </w:r>
      <w:r w:rsidRPr="00045F71">
        <w:rPr>
          <w:rFonts w:cs="Times New Roman"/>
        </w:rPr>
        <w:t xml:space="preserve">Vartotojas su Teikėju 2016 m. rugsėjo 15 d. sudarė Elektroninių ryšių paslaugų teikimo sutartį </w:t>
      </w:r>
      <w:r w:rsidR="0000624F">
        <w:rPr>
          <w:rFonts w:cs="Times New Roman"/>
        </w:rPr>
        <w:t>(duomenys neskelbtini)</w:t>
      </w:r>
      <w:r w:rsidRPr="00045F71">
        <w:rPr>
          <w:rFonts w:cs="Times New Roman"/>
        </w:rPr>
        <w:t xml:space="preserve"> (toliau – sutartis), pagal kurią Teikėjas įsipareigojo teikti Vartotojui interneto prieigos paslaugas (toliau – paslaugos), o Vartotojas įsipareigojo naudotis Teikėjo teikiamomis paslaugomis ir atsiskaityti už jas sutartyje nustatyta tvarka. Sutarties specialiųjų sąlygų 1 punkte nustatytas minimalaus naudojimosi paslaugomis laikotarpis – 24 mėn., taip pat nustatyta, jog Vartotojui paslaugos teikiamos taikant mokėjimo planą „LTE 20“, kurio mėnesinis mokestis yra 15,90 Eur (su PVM), tačiau pritaikius 2,00 Eur (su PVM) nuolaidą, Vartotojui nustatytas 13,90 Eur (su PVM) mėnesinis mokestis už paslaugas visą minimalų naudojimosi paslaugomis laikotarpį, t. y. 24 mėn.      </w:t>
      </w:r>
      <w:r w:rsidRPr="00045F71">
        <w:rPr>
          <w:rFonts w:cs="Times New Roman"/>
          <w:bCs/>
        </w:rPr>
        <w:t xml:space="preserve">   </w:t>
      </w:r>
    </w:p>
    <w:p w:rsidR="00031D65" w:rsidRPr="00045F71" w:rsidRDefault="00031D65" w:rsidP="00031D65">
      <w:pPr>
        <w:pStyle w:val="Standard"/>
        <w:ind w:firstLine="720"/>
        <w:jc w:val="both"/>
        <w:rPr>
          <w:rFonts w:cs="Times New Roman"/>
          <w:bCs/>
        </w:rPr>
      </w:pPr>
      <w:r w:rsidRPr="00045F71">
        <w:rPr>
          <w:rFonts w:cs="Times New Roman"/>
          <w:bCs/>
        </w:rPr>
        <w:t>Vartotojas prašyme teigia, jog Teikėjas teikia paslaugas, tačiau interneto ryšys vakarais, po 20:00 val., dingsta, kai tuo metu visi Teikėjo darbuotojai nebedirba, todėl nėra galimybių interneto ryšį atstatyti arba išsiaiškinti paslaugų teikimo sutrikimų priežastis. Anot Vartotojo, taip atsitiko tris kartus iš eilės, dėl ko Vartotojas nusprendė atsisakyti paslaugų ir grąžinti paslaugų teikimui įsigytą įrangą. Vartotojas teigia dar kartą įjungęs įrangą po prašymo nutraukti sutartį pateikimo Teikėjui, tačiau paslaugų kokybė nebuvo pagerėjusi. Vartotojo nuomone, Teikėjo darbuotojai turi dirbti visą parą.</w:t>
      </w:r>
    </w:p>
    <w:p w:rsidR="00031D65" w:rsidRPr="00045F71" w:rsidRDefault="00031D65" w:rsidP="00031D65">
      <w:pPr>
        <w:pStyle w:val="Standard"/>
        <w:ind w:firstLine="720"/>
        <w:jc w:val="both"/>
        <w:rPr>
          <w:rFonts w:cs="Times New Roman"/>
          <w:bCs/>
        </w:rPr>
      </w:pPr>
      <w:r w:rsidRPr="00045F71">
        <w:rPr>
          <w:rFonts w:cs="Times New Roman"/>
          <w:bCs/>
        </w:rPr>
        <w:t>Vartotojas reikalauja nutraukti sutartį, grąžinti įrangą Teikėjui, nemokant Teikėjui jokių kompensacijų.</w:t>
      </w:r>
    </w:p>
    <w:p w:rsidR="00031D65" w:rsidRPr="00045F71" w:rsidRDefault="00031D65" w:rsidP="00031D65">
      <w:pPr>
        <w:pStyle w:val="Standard"/>
        <w:ind w:firstLine="709"/>
        <w:jc w:val="both"/>
        <w:rPr>
          <w:rFonts w:cs="Times New Roman"/>
        </w:rPr>
      </w:pPr>
      <w:r w:rsidRPr="00045F71">
        <w:rPr>
          <w:rFonts w:cs="Times New Roman"/>
          <w:bCs/>
        </w:rPr>
        <w:t xml:space="preserve">Lietuvos Respublikos ryšių reguliavimo tarnyba (toliau – Tarnyba) 2016 m. lapkričio 21 d. raštu Nr. (37.10E) 1B-3300 kreipėsi į Teikėją ir, vadovaudamasi </w:t>
      </w:r>
      <w:r w:rsidRPr="00045F71">
        <w:rPr>
          <w:rFonts w:cs="Times New Roman"/>
        </w:rPr>
        <w:t>Vartojimo ginčų taisyklių</w:t>
      </w:r>
      <w:r w:rsidRPr="00045F71">
        <w:rPr>
          <w:rFonts w:cs="Times New Roman"/>
          <w:bCs/>
        </w:rPr>
        <w:t xml:space="preserve"> 12 punktu, pareikalavo per 10 dienų nuo šio rašto gavimo dienos raštu pateikti Tarnybai išsamius paaiškinimus dėl prašyme išdėstytų aplinkybių ir juos pagrindžiančius įrodymus, bei kitus ginčo nagrinėjimui reikšmingus dokumentus arba informuoti Vartotoją ir Tarnybą, jei būtų galimybė išspręsti iškilusį ginčą taikiai.  </w:t>
      </w:r>
    </w:p>
    <w:p w:rsidR="00031D65" w:rsidRPr="00045F71" w:rsidRDefault="00031D65" w:rsidP="00031D65">
      <w:pPr>
        <w:spacing w:after="0" w:line="240" w:lineRule="auto"/>
        <w:ind w:firstLine="709"/>
        <w:jc w:val="both"/>
        <w:rPr>
          <w:rFonts w:ascii="Times New Roman" w:hAnsi="Times New Roman" w:cs="Times New Roman"/>
          <w:bCs/>
          <w:sz w:val="24"/>
          <w:szCs w:val="24"/>
        </w:rPr>
      </w:pPr>
      <w:r w:rsidRPr="00045F71">
        <w:rPr>
          <w:rFonts w:ascii="Times New Roman" w:hAnsi="Times New Roman" w:cs="Times New Roman"/>
          <w:bCs/>
          <w:sz w:val="24"/>
          <w:szCs w:val="24"/>
        </w:rPr>
        <w:t xml:space="preserve">Teikėjas raštu informavo Tarnybą, kad 2016 m. rugsėjo 15 d. su Vartotoju 24 mėn. minimaliam naudojimosi paslaugomis laikotarpiui sudarė sutartį, pagal kurią Vartotojui suteiktas „LTE 20“ mokėjimo planas su akcija, t. y. 24  mėn. mokėjimo plano mėnesinis mokestis yra 13,90 Eur, suteikta 2,00 Eur nuolaida mėnesiniam mokesčiui, suteikiama greitaveika iki 20 Mb/s. Teikėjas </w:t>
      </w:r>
      <w:r w:rsidRPr="00045F71">
        <w:rPr>
          <w:rFonts w:ascii="Times New Roman" w:hAnsi="Times New Roman" w:cs="Times New Roman"/>
          <w:bCs/>
          <w:sz w:val="24"/>
          <w:szCs w:val="24"/>
        </w:rPr>
        <w:lastRenderedPageBreak/>
        <w:t>nurodė, kad Vartotojas, pasirašydamas sutartį, įsigijo įrangą Huawei B310s-927 LTE CPE, SIM8937000000000026304 (toliau – įranga) už 0,10 Eur, įrangai suteikta 93,50 Eur. nuolaida.</w:t>
      </w:r>
    </w:p>
    <w:p w:rsidR="00031D65" w:rsidRPr="00045F71" w:rsidRDefault="00031D65" w:rsidP="00031D65">
      <w:pPr>
        <w:spacing w:after="0" w:line="240" w:lineRule="auto"/>
        <w:ind w:firstLine="709"/>
        <w:jc w:val="both"/>
        <w:rPr>
          <w:rStyle w:val="FontStyle14"/>
          <w:rFonts w:ascii="Times New Roman" w:hAnsi="Times New Roman" w:cs="Times New Roman"/>
          <w:sz w:val="24"/>
          <w:szCs w:val="24"/>
        </w:rPr>
      </w:pPr>
      <w:r w:rsidRPr="00045F71">
        <w:rPr>
          <w:rStyle w:val="FontStyle14"/>
          <w:rFonts w:ascii="Times New Roman" w:hAnsi="Times New Roman" w:cs="Times New Roman"/>
          <w:sz w:val="24"/>
          <w:szCs w:val="24"/>
        </w:rPr>
        <w:t xml:space="preserve">Teikėjas pažymi, kad, pagal sutarties specialiųjų sąlygų 4 punktą, Vartotojas susipažino, kad reali duomenų perdavimo ir priėmimo sparta Teikėjo tinkle priklauso nuo paslaugų gavėjo naudojamo galinio įrenginio ir tinklo apkrovimo būklės konkrečioje vietoje ir konkrečiu laiku, nuo vietovės, kurioje naudojamasi paslaugomis, reljefo ypatumų, einamųjų užstatymo lygio pokyčių, ryšio trikdžių, kuriuos gali lemti gamtos reiškiniai, taip pat nuo paslaugų gavėjo buvimo vietos – pavyzdžiui, tuneliuose, rūsiuose ar kituose požeminiuose pastatuose jis gali kisti. Teikėjas patvirtina, kad 2016 m. spalio 11 d. iš Vartotojo gavo prašymą nutraukti terminuotą sutartį. Kaip teigia Teikėjas, 2016 m. spalio 12 d. nuotoliniu būdu buvo atliktas interneto ryšio patikrinimas ir nustatyta, kad teikiamų paslaugų greitaveika atitinka sutartyje nurodytas technines specifikacijas, t. y. pagal mokėjimo planą „LTE 20“ duomenų parsisiuntimo greitaveika yra iki 20 Mb/s. </w:t>
      </w:r>
    </w:p>
    <w:p w:rsidR="00031D65" w:rsidRPr="00045F71" w:rsidRDefault="00031D65" w:rsidP="00031D65">
      <w:pPr>
        <w:pStyle w:val="Style5"/>
        <w:widowControl/>
        <w:spacing w:line="274" w:lineRule="exact"/>
        <w:ind w:firstLine="709"/>
        <w:rPr>
          <w:rStyle w:val="FontStyle14"/>
          <w:rFonts w:ascii="Times New Roman" w:hAnsi="Times New Roman" w:cs="Times New Roman"/>
          <w:sz w:val="24"/>
          <w:szCs w:val="24"/>
        </w:rPr>
      </w:pPr>
      <w:r w:rsidRPr="00045F71">
        <w:rPr>
          <w:rStyle w:val="FontStyle14"/>
          <w:rFonts w:ascii="Times New Roman" w:hAnsi="Times New Roman" w:cs="Times New Roman"/>
          <w:sz w:val="24"/>
          <w:szCs w:val="24"/>
        </w:rPr>
        <w:t xml:space="preserve">Teikėjas nurodo, kad 2016 m. spalio 26 d. Vartotojui išsiųstu atsakymu informavo, kad atlikus interneto ryšio patikrą buvo nustatyta, jog teikiamos paslaugos atitinka sutartyje nurodytas technines specifikacijas, tačiau papildomai suteikė 30 procentų nuolaidą 2016 m. spalio mėnesio mėnesiniam mokesčiui, siekdamas kompensuoti nepatogumus dėl patirtų trumpalaikių sutrikimų. </w:t>
      </w:r>
    </w:p>
    <w:p w:rsidR="00031D65" w:rsidRPr="00045F71" w:rsidRDefault="00031D65" w:rsidP="00031D65">
      <w:pPr>
        <w:pStyle w:val="Style5"/>
        <w:widowControl/>
        <w:spacing w:before="5" w:line="274" w:lineRule="exact"/>
        <w:ind w:firstLine="709"/>
        <w:rPr>
          <w:rStyle w:val="FontStyle14"/>
          <w:rFonts w:ascii="Times New Roman" w:hAnsi="Times New Roman" w:cs="Times New Roman"/>
          <w:sz w:val="24"/>
          <w:szCs w:val="24"/>
        </w:rPr>
      </w:pPr>
      <w:r w:rsidRPr="00045F71">
        <w:rPr>
          <w:rStyle w:val="FontStyle14"/>
          <w:rFonts w:ascii="Times New Roman" w:hAnsi="Times New Roman" w:cs="Times New Roman"/>
          <w:sz w:val="24"/>
          <w:szCs w:val="24"/>
        </w:rPr>
        <w:t>Teikėjas informuoja, kad 2016 m. spalio 26 d. gavo Vartotojo kreipimąsi, kuriuo Vartotojas patvirtino savo teiginį dėl pablogėjusios paslaugų kokybės, 2016 m. spalio 28 d. siekiant išsiaiškinti esamą situaciją, Vartotojo kreipimasis buvo pakartotinai nukreiptas Teikėjo techniniam skyriui, tačiau atlikti interneto ryšio patikros nepavyko, nes Vartotojas turimą įrangą laikė išjungęs, o nuo bazinės stoties iki Vartotojo įrangos paslaugos teikiamos kokybiškai, be sutrikimų.</w:t>
      </w:r>
    </w:p>
    <w:p w:rsidR="00031D65" w:rsidRPr="00045F71" w:rsidRDefault="00031D65" w:rsidP="00031D65">
      <w:pPr>
        <w:spacing w:after="0" w:line="240" w:lineRule="auto"/>
        <w:ind w:firstLine="709"/>
        <w:jc w:val="both"/>
        <w:rPr>
          <w:rStyle w:val="FontStyle14"/>
          <w:rFonts w:ascii="Times New Roman" w:hAnsi="Times New Roman" w:cs="Times New Roman"/>
          <w:sz w:val="24"/>
          <w:szCs w:val="24"/>
        </w:rPr>
      </w:pPr>
      <w:r w:rsidRPr="00045F71">
        <w:rPr>
          <w:rStyle w:val="FontStyle14"/>
          <w:rFonts w:ascii="Times New Roman" w:hAnsi="Times New Roman" w:cs="Times New Roman"/>
          <w:sz w:val="24"/>
          <w:szCs w:val="24"/>
        </w:rPr>
        <w:t>Anot Teikėjo, 2016 m. lapkričio 10 d. Vartotojui buvo išsiųstas atsakymas į jo kreipimąsi, patvirtinantis apie pirminės interneto ryšio patikros išvadas ir pakartotinai patikrai paprašyta pajungti įrangą arba suderinti laiką, kada Teikėjo techninis darbuotojas galėtų susisiekti su Vartotoju patikrinti teikiamų paslaugų kokybę; atsakyme Vartotojas buvo informuotas apie terminuotos sutarties nutraukimo sąlygas.</w:t>
      </w:r>
    </w:p>
    <w:p w:rsidR="00031D65" w:rsidRPr="00045F71" w:rsidRDefault="00031D65" w:rsidP="00031D65">
      <w:pPr>
        <w:pStyle w:val="Style8"/>
        <w:widowControl/>
        <w:spacing w:line="274" w:lineRule="exact"/>
        <w:ind w:firstLine="709"/>
        <w:jc w:val="both"/>
        <w:rPr>
          <w:rStyle w:val="FontStyle14"/>
          <w:rFonts w:ascii="Times New Roman" w:hAnsi="Times New Roman" w:cs="Times New Roman"/>
          <w:sz w:val="24"/>
          <w:szCs w:val="24"/>
        </w:rPr>
      </w:pPr>
      <w:r w:rsidRPr="00045F71">
        <w:rPr>
          <w:rStyle w:val="FontStyle14"/>
          <w:rFonts w:ascii="Times New Roman" w:hAnsi="Times New Roman" w:cs="Times New Roman"/>
          <w:sz w:val="24"/>
          <w:szCs w:val="24"/>
        </w:rPr>
        <w:t>Po Teikėjo kreipimosi, įranga nebuvo įjungta pakartotiniam paslaugų kokybės patikrinimui, taigi, Teikėjo nuomone, Vartotojo pozicija, šiuo atveju, nebuvo paremta bendradarbiavimu siekiant pagerinti paslaugų kokybę tolimesniam naudojimui. Teikėjas patvirtina, kad pagal Vartotojo prašymą nutraukė sutartį nuo 2016 m. lapkričio 10 d., taikydamas 129,18 Eur kompensaciją Teikėjui už suteiktas nuolaidas paslaugoms ir įrangai.</w:t>
      </w:r>
    </w:p>
    <w:p w:rsidR="00031D65" w:rsidRPr="00045F71" w:rsidRDefault="00031D65" w:rsidP="00031D65">
      <w:pPr>
        <w:pStyle w:val="Style8"/>
        <w:widowControl/>
        <w:spacing w:before="19" w:line="274" w:lineRule="exact"/>
        <w:ind w:firstLine="709"/>
        <w:jc w:val="both"/>
        <w:rPr>
          <w:rStyle w:val="FontStyle14"/>
          <w:rFonts w:ascii="Times New Roman" w:hAnsi="Times New Roman" w:cs="Times New Roman"/>
          <w:sz w:val="24"/>
          <w:szCs w:val="24"/>
        </w:rPr>
      </w:pPr>
      <w:r w:rsidRPr="00045F71">
        <w:rPr>
          <w:rStyle w:val="FontStyle14"/>
          <w:rFonts w:ascii="Times New Roman" w:hAnsi="Times New Roman" w:cs="Times New Roman"/>
          <w:sz w:val="24"/>
          <w:szCs w:val="24"/>
        </w:rPr>
        <w:t xml:space="preserve">Taip pat, Teikėjas pažymi, kad Vartotojas nėra atlikęs nei vieno mokėjimo nuo sutarties sudarymo dienos, dėl ko už neapmokėtas paslaugas susidariusi 27,24 Eur skola. </w:t>
      </w:r>
    </w:p>
    <w:p w:rsidR="00031D65" w:rsidRPr="00045F71" w:rsidRDefault="00031D65" w:rsidP="00031D65">
      <w:pPr>
        <w:pStyle w:val="Style9"/>
        <w:widowControl/>
        <w:spacing w:before="5" w:line="274" w:lineRule="exact"/>
        <w:ind w:firstLine="709"/>
        <w:rPr>
          <w:rStyle w:val="FontStyle14"/>
          <w:rFonts w:ascii="Times New Roman" w:hAnsi="Times New Roman" w:cs="Times New Roman"/>
          <w:sz w:val="24"/>
          <w:szCs w:val="24"/>
        </w:rPr>
      </w:pPr>
      <w:r w:rsidRPr="00045F71">
        <w:rPr>
          <w:rStyle w:val="FontStyle14"/>
          <w:rFonts w:ascii="Times New Roman" w:hAnsi="Times New Roman" w:cs="Times New Roman"/>
          <w:sz w:val="24"/>
          <w:szCs w:val="24"/>
        </w:rPr>
        <w:t>Teikėjas mano, kad Vartotojas nesudarė sąlygų galutinėms techninėms išvadoms pateikti, todėl nutraukti sutartį netaikant 129,18 Eur kompensacijos Teikėjui nėra pagrindo. Teikėjas taip pat informuoja apie galimybę, išimties tvarka, atstatyti sutartį tolimesniam paslaugų naudojimui, tokiu atveju 129,18 Eur kompensacija Teikėjui nebūtų taikoma.</w:t>
      </w:r>
    </w:p>
    <w:p w:rsidR="00031D65" w:rsidRPr="00045F71" w:rsidRDefault="00031D65" w:rsidP="00031D65">
      <w:pPr>
        <w:pStyle w:val="Style9"/>
        <w:widowControl/>
        <w:spacing w:before="5" w:line="274" w:lineRule="exact"/>
        <w:ind w:firstLine="709"/>
        <w:rPr>
          <w:rStyle w:val="FontStyle17"/>
          <w:rFonts w:ascii="Times New Roman" w:hAnsi="Times New Roman" w:cs="Times New Roman"/>
          <w:sz w:val="24"/>
          <w:szCs w:val="24"/>
        </w:rPr>
      </w:pPr>
      <w:r w:rsidRPr="00045F71">
        <w:rPr>
          <w:rStyle w:val="FontStyle14"/>
          <w:rFonts w:ascii="Times New Roman" w:hAnsi="Times New Roman" w:cs="Times New Roman"/>
          <w:sz w:val="24"/>
          <w:szCs w:val="24"/>
        </w:rPr>
        <w:t xml:space="preserve">Teikėjas 2016 m. gruodžio 15 d. raštu Nr. 5A(KAS) 204/2.8-31 papildomai paaiškino, kad </w:t>
      </w:r>
      <w:r w:rsidRPr="00045F71">
        <w:rPr>
          <w:rStyle w:val="FontStyle17"/>
          <w:rFonts w:ascii="Times New Roman" w:hAnsi="Times New Roman" w:cs="Times New Roman"/>
          <w:sz w:val="24"/>
          <w:szCs w:val="24"/>
        </w:rPr>
        <w:t>nutraukus su Vartotoju sudarytą terminuotą sutartį nuo 2016</w:t>
      </w:r>
      <w:r w:rsidRPr="00045F71">
        <w:rPr>
          <w:rStyle w:val="FontStyle17"/>
          <w:rFonts w:ascii="Times New Roman" w:hAnsi="Times New Roman" w:cs="Times New Roman"/>
          <w:sz w:val="24"/>
          <w:szCs w:val="24"/>
        </w:rPr>
        <w:softHyphen/>
        <w:t xml:space="preserve"> m. lapkričio 10 d., buvo paskaičiuotos 129,18 Eur paslaugoms ir įrangai suteiktos nuolaidos proporcingai likusiam sutarties galiojimo laikotarpiui, atsižvelgiant į Lietuvos Aukščiausiojo Teismo (toliau – LAT) bylą Nr. 3K-3-257/2007, kur LAT paliko nepakeistą apeliacinės instancijos nutartį, kuria paslaugų teikėjui buvo priteista paslaugoms ir įrangai suteiktų nuolaidų suma, proporcinga likusiam sutarties galiojimo terminui.</w:t>
      </w:r>
    </w:p>
    <w:p w:rsidR="00031D65" w:rsidRPr="00045F71" w:rsidRDefault="00031D65" w:rsidP="00031D65">
      <w:pPr>
        <w:pStyle w:val="Style9"/>
        <w:widowControl/>
        <w:spacing w:before="5" w:line="274" w:lineRule="exact"/>
        <w:ind w:firstLine="709"/>
        <w:rPr>
          <w:rStyle w:val="FontStyle17"/>
          <w:rFonts w:ascii="Times New Roman" w:hAnsi="Times New Roman" w:cs="Times New Roman"/>
          <w:sz w:val="24"/>
          <w:szCs w:val="24"/>
        </w:rPr>
      </w:pPr>
      <w:r w:rsidRPr="00045F71">
        <w:rPr>
          <w:rStyle w:val="FontStyle17"/>
          <w:rFonts w:ascii="Times New Roman" w:hAnsi="Times New Roman" w:cs="Times New Roman"/>
          <w:sz w:val="24"/>
          <w:szCs w:val="24"/>
        </w:rPr>
        <w:t>Teikėjas, be kita ko, pateikė paslaugoms ir įrangai suteiktų nuolaidų proporcingai likusiam sutarties galiojimo terminui skaičiavimą:</w:t>
      </w:r>
    </w:p>
    <w:p w:rsidR="00031D65" w:rsidRPr="00045F71" w:rsidRDefault="00031D65" w:rsidP="00031D65">
      <w:pPr>
        <w:pStyle w:val="Style8"/>
        <w:widowControl/>
        <w:numPr>
          <w:ilvl w:val="0"/>
          <w:numId w:val="1"/>
        </w:numPr>
        <w:tabs>
          <w:tab w:val="left" w:pos="605"/>
        </w:tabs>
        <w:spacing w:line="240" w:lineRule="auto"/>
        <w:ind w:left="254" w:firstLine="0"/>
        <w:rPr>
          <w:rStyle w:val="FontStyle17"/>
          <w:rFonts w:ascii="Times New Roman" w:hAnsi="Times New Roman" w:cs="Times New Roman"/>
          <w:sz w:val="24"/>
          <w:szCs w:val="24"/>
        </w:rPr>
      </w:pPr>
      <w:r w:rsidRPr="00045F71">
        <w:rPr>
          <w:rStyle w:val="FontStyle17"/>
          <w:rFonts w:ascii="Times New Roman" w:hAnsi="Times New Roman" w:cs="Times New Roman"/>
          <w:sz w:val="24"/>
          <w:szCs w:val="24"/>
        </w:rPr>
        <w:t>Sutarties minimalus naudojimosi paslaugomis terminas – 2018 m. rugsėjo 15 d.</w:t>
      </w:r>
    </w:p>
    <w:p w:rsidR="00031D65" w:rsidRPr="00045F71" w:rsidRDefault="00031D65" w:rsidP="00031D65">
      <w:pPr>
        <w:pStyle w:val="Style8"/>
        <w:widowControl/>
        <w:numPr>
          <w:ilvl w:val="0"/>
          <w:numId w:val="1"/>
        </w:numPr>
        <w:tabs>
          <w:tab w:val="left" w:pos="605"/>
        </w:tabs>
        <w:spacing w:line="240" w:lineRule="auto"/>
        <w:ind w:left="254" w:firstLine="0"/>
        <w:rPr>
          <w:rStyle w:val="FontStyle17"/>
          <w:rFonts w:ascii="Times New Roman" w:hAnsi="Times New Roman" w:cs="Times New Roman"/>
          <w:sz w:val="24"/>
          <w:szCs w:val="24"/>
        </w:rPr>
      </w:pPr>
      <w:r w:rsidRPr="00045F71">
        <w:rPr>
          <w:rStyle w:val="FontStyle17"/>
          <w:rFonts w:ascii="Times New Roman" w:hAnsi="Times New Roman" w:cs="Times New Roman"/>
          <w:sz w:val="24"/>
          <w:szCs w:val="24"/>
        </w:rPr>
        <w:t>Sutarties nutraukimo data – 2016 m. lapkričio 10 d.</w:t>
      </w:r>
    </w:p>
    <w:p w:rsidR="00031D65" w:rsidRPr="00045F71" w:rsidRDefault="00031D65" w:rsidP="00031D65">
      <w:pPr>
        <w:pStyle w:val="Style8"/>
        <w:widowControl/>
        <w:numPr>
          <w:ilvl w:val="0"/>
          <w:numId w:val="1"/>
        </w:numPr>
        <w:tabs>
          <w:tab w:val="left" w:pos="605"/>
        </w:tabs>
        <w:spacing w:line="240" w:lineRule="auto"/>
        <w:ind w:left="254" w:firstLine="0"/>
        <w:rPr>
          <w:rStyle w:val="FontStyle17"/>
          <w:rFonts w:ascii="Times New Roman" w:hAnsi="Times New Roman" w:cs="Times New Roman"/>
          <w:sz w:val="24"/>
          <w:szCs w:val="24"/>
        </w:rPr>
      </w:pPr>
      <w:r w:rsidRPr="00045F71">
        <w:rPr>
          <w:rStyle w:val="FontStyle17"/>
          <w:rFonts w:ascii="Times New Roman" w:hAnsi="Times New Roman" w:cs="Times New Roman"/>
          <w:sz w:val="24"/>
          <w:szCs w:val="24"/>
        </w:rPr>
        <w:t>Likęs laikotarpis – 22 mėnesių ir 5 dienos.</w:t>
      </w:r>
    </w:p>
    <w:p w:rsidR="00031D65" w:rsidRPr="00045F71" w:rsidRDefault="00031D65" w:rsidP="00031D65">
      <w:pPr>
        <w:pStyle w:val="Style8"/>
        <w:widowControl/>
        <w:numPr>
          <w:ilvl w:val="0"/>
          <w:numId w:val="1"/>
        </w:numPr>
        <w:tabs>
          <w:tab w:val="left" w:pos="605"/>
        </w:tabs>
        <w:spacing w:line="240" w:lineRule="auto"/>
        <w:ind w:left="254" w:firstLine="0"/>
        <w:rPr>
          <w:rStyle w:val="FontStyle17"/>
          <w:rFonts w:ascii="Times New Roman" w:hAnsi="Times New Roman" w:cs="Times New Roman"/>
          <w:sz w:val="24"/>
          <w:szCs w:val="24"/>
        </w:rPr>
      </w:pPr>
      <w:r w:rsidRPr="00045F71">
        <w:rPr>
          <w:rStyle w:val="FontStyle17"/>
          <w:rFonts w:ascii="Times New Roman" w:hAnsi="Times New Roman" w:cs="Times New Roman"/>
          <w:sz w:val="24"/>
          <w:szCs w:val="24"/>
        </w:rPr>
        <w:t>Pagal mokėjimo planą „LTE 20“ suteikta nuolaida – 2,00 Eur/mėn.</w:t>
      </w:r>
    </w:p>
    <w:p w:rsidR="00031D65" w:rsidRPr="00045F71" w:rsidRDefault="00031D65" w:rsidP="00031D65">
      <w:pPr>
        <w:pStyle w:val="Style8"/>
        <w:widowControl/>
        <w:numPr>
          <w:ilvl w:val="0"/>
          <w:numId w:val="1"/>
        </w:numPr>
        <w:tabs>
          <w:tab w:val="left" w:pos="605"/>
        </w:tabs>
        <w:spacing w:line="240" w:lineRule="auto"/>
        <w:ind w:left="254" w:firstLine="0"/>
        <w:rPr>
          <w:rStyle w:val="FontStyle17"/>
          <w:rFonts w:ascii="Times New Roman" w:hAnsi="Times New Roman" w:cs="Times New Roman"/>
          <w:sz w:val="24"/>
          <w:szCs w:val="24"/>
        </w:rPr>
      </w:pPr>
      <w:r w:rsidRPr="00045F71">
        <w:rPr>
          <w:rStyle w:val="FontStyle17"/>
          <w:rFonts w:ascii="Times New Roman" w:hAnsi="Times New Roman" w:cs="Times New Roman"/>
          <w:sz w:val="24"/>
          <w:szCs w:val="24"/>
        </w:rPr>
        <w:t>Įrangai suteikta nuolaida – 93,50 Eur.</w:t>
      </w:r>
    </w:p>
    <w:p w:rsidR="00031D65" w:rsidRPr="00045F71" w:rsidRDefault="00031D65" w:rsidP="00031D65">
      <w:pPr>
        <w:pStyle w:val="Style8"/>
        <w:widowControl/>
        <w:numPr>
          <w:ilvl w:val="0"/>
          <w:numId w:val="1"/>
        </w:numPr>
        <w:tabs>
          <w:tab w:val="left" w:pos="605"/>
        </w:tabs>
        <w:spacing w:line="240" w:lineRule="auto"/>
        <w:ind w:left="254" w:firstLine="0"/>
        <w:rPr>
          <w:rStyle w:val="FontStyle17"/>
          <w:rFonts w:ascii="Times New Roman" w:hAnsi="Times New Roman" w:cs="Times New Roman"/>
          <w:sz w:val="24"/>
          <w:szCs w:val="24"/>
        </w:rPr>
      </w:pPr>
      <w:r w:rsidRPr="00045F71">
        <w:rPr>
          <w:rStyle w:val="FontStyle17"/>
          <w:rFonts w:ascii="Times New Roman" w:hAnsi="Times New Roman" w:cs="Times New Roman"/>
          <w:sz w:val="24"/>
          <w:szCs w:val="24"/>
        </w:rPr>
        <w:t>Iš viso suteiktų nuolaidų – 2,00 Eur*24 + 93,50 Eur = 141,50 Eur.</w:t>
      </w:r>
    </w:p>
    <w:p w:rsidR="00031D65" w:rsidRPr="00045F71" w:rsidRDefault="00031D65" w:rsidP="00031D65">
      <w:pPr>
        <w:pStyle w:val="Style8"/>
        <w:widowControl/>
        <w:numPr>
          <w:ilvl w:val="0"/>
          <w:numId w:val="1"/>
        </w:numPr>
        <w:tabs>
          <w:tab w:val="left" w:pos="605"/>
        </w:tabs>
        <w:spacing w:line="240" w:lineRule="auto"/>
        <w:ind w:left="254" w:firstLine="0"/>
        <w:rPr>
          <w:rStyle w:val="FontStyle17"/>
          <w:rFonts w:ascii="Times New Roman" w:hAnsi="Times New Roman" w:cs="Times New Roman"/>
          <w:sz w:val="24"/>
          <w:szCs w:val="24"/>
        </w:rPr>
      </w:pPr>
      <w:r w:rsidRPr="00045F71">
        <w:rPr>
          <w:rStyle w:val="FontStyle17"/>
          <w:rFonts w:ascii="Times New Roman" w:hAnsi="Times New Roman" w:cs="Times New Roman"/>
          <w:sz w:val="24"/>
          <w:szCs w:val="24"/>
        </w:rPr>
        <w:t>141,50 Eur/24*22 + 141,50 Eur/24/30*5 = 130,58 Eur.</w:t>
      </w:r>
    </w:p>
    <w:p w:rsidR="00031D65" w:rsidRPr="00045F71" w:rsidRDefault="00031D65" w:rsidP="00031D65">
      <w:pPr>
        <w:pStyle w:val="Style1"/>
        <w:widowControl/>
        <w:spacing w:line="240" w:lineRule="auto"/>
        <w:ind w:firstLine="709"/>
        <w:rPr>
          <w:rStyle w:val="FontStyle17"/>
          <w:rFonts w:ascii="Times New Roman" w:hAnsi="Times New Roman" w:cs="Times New Roman"/>
          <w:sz w:val="24"/>
          <w:szCs w:val="24"/>
        </w:rPr>
      </w:pPr>
      <w:r w:rsidRPr="00045F71">
        <w:rPr>
          <w:rStyle w:val="FontStyle15"/>
          <w:rFonts w:ascii="Times New Roman" w:hAnsi="Times New Roman" w:cs="Times New Roman"/>
          <w:sz w:val="24"/>
          <w:szCs w:val="24"/>
        </w:rPr>
        <w:lastRenderedPageBreak/>
        <w:t xml:space="preserve">Teikėjas nurodo, kad atsižvelgęs į paklaidą </w:t>
      </w:r>
      <w:r w:rsidRPr="00045F71">
        <w:rPr>
          <w:rStyle w:val="FontStyle17"/>
          <w:rFonts w:ascii="Times New Roman" w:hAnsi="Times New Roman" w:cs="Times New Roman"/>
          <w:sz w:val="24"/>
          <w:szCs w:val="24"/>
        </w:rPr>
        <w:t>paskaičiuojant paslaugoms ir įrangai suteiktas nuolaidas proporcingai likusiam sutarties galiojimo terminui, palieka mažesnę 129,18 Eur paskaičiuotą sumą Vartotojo naudai.</w:t>
      </w:r>
    </w:p>
    <w:p w:rsidR="00031D65" w:rsidRPr="00045F71" w:rsidRDefault="00031D65" w:rsidP="00031D65">
      <w:pPr>
        <w:pStyle w:val="Header"/>
        <w:tabs>
          <w:tab w:val="clear" w:pos="4320"/>
          <w:tab w:val="clear" w:pos="8640"/>
        </w:tabs>
        <w:ind w:firstLine="709"/>
        <w:jc w:val="both"/>
        <w:rPr>
          <w:szCs w:val="24"/>
        </w:rPr>
      </w:pPr>
      <w:r w:rsidRPr="00045F71">
        <w:rPr>
          <w:szCs w:val="24"/>
        </w:rPr>
        <w:t xml:space="preserve">2. </w:t>
      </w:r>
      <w:r w:rsidRPr="00045F71">
        <w:rPr>
          <w:spacing w:val="70"/>
          <w:szCs w:val="24"/>
        </w:rPr>
        <w:t>Konstatuoj</w:t>
      </w:r>
      <w:r w:rsidRPr="00045F71">
        <w:rPr>
          <w:szCs w:val="24"/>
        </w:rPr>
        <w:t xml:space="preserve">u, kad </w:t>
      </w:r>
      <w:r w:rsidRPr="00045F71">
        <w:rPr>
          <w:bCs/>
          <w:szCs w:val="24"/>
        </w:rPr>
        <w:t xml:space="preserve">vadovaujantis Lietuvos Respublikos civilinio kodekso (toliau – CK) </w:t>
      </w:r>
      <w:r w:rsidRPr="00045F71">
        <w:rPr>
          <w:szCs w:val="24"/>
        </w:rPr>
        <w:t xml:space="preserve">6.716 straipsnio 1 dalimi, sutartis, kuria viena šalis įsipareigoja pagal kitos šalies (kliento) užsakymą suteikti klientui tam tikras nematerialaus pobūdžio (intelektines) ar kitokias paslaugas, nesusijusias su materialaus objekto sukūrimu (atlikti tam tikrus veiksmus arba vykdyti tam tikrą veiklą), o klientas įsipareigoja už suteiktas paslaugas sumokėti, yra paslaugų sutartis. Remiantis Bendrųjų sąlygų (galiojančių nuo 2016 m. balandžio 29 d.) (toliau – Bendrosios sąlygos) 1.12 papunkčiu ir 2 punktu, kuriuose nustatyta, jog Teikėjas įsipareigojo teikti Vartotojui elektroninių ryšių paslaugas, o Vartotojas </w:t>
      </w:r>
      <w:r w:rsidRPr="00045F71">
        <w:rPr>
          <w:bCs/>
          <w:szCs w:val="24"/>
        </w:rPr>
        <w:t>–</w:t>
      </w:r>
      <w:r w:rsidRPr="00045F71">
        <w:rPr>
          <w:szCs w:val="24"/>
        </w:rPr>
        <w:t xml:space="preserve"> už jas atsiskaityti sutartyje nustatyta tvarka, darytina išvada, jog Vartotojo su Teikėju sudaryta sutartis yra atlygintinų paslaugų teikimo sutartis. Nustačius, kad sutartis yra priskirtina atskirai sutarčių rūšiai – atlygintinų paslaugų teikimo sutartims, bendrosios prievolių bei sutarčių teisės nuostatos taikytinos tik tiek, kiek tai neprieštarauja teisės normoms, numatančioms šios rūšies sutarčių ypatumus. Todėl sutarties pagrindu atsiradusiems Vartotojo ir Teikėjo civiliniams teisiniams santykiams dėl </w:t>
      </w:r>
      <w:r w:rsidRPr="00045F71">
        <w:rPr>
          <w:bCs/>
          <w:szCs w:val="24"/>
        </w:rPr>
        <w:t>p</w:t>
      </w:r>
      <w:r w:rsidRPr="00045F71">
        <w:rPr>
          <w:szCs w:val="24"/>
        </w:rPr>
        <w:t xml:space="preserve">aslaugų teikimo yra taikomas specifinis reguliavimas (CK XXXV skyriuje įtvirtintos nuostatos, reglamentuojančios atlygintinų paslaugų teikimą). Pagal CK 6.716 straipsnio 5 dalį, atskirų rūšių atlygintinoms paslaugoms kiti įstatymai gali nustatyti papildomus reikalavimus, nenumatytus CK XXXV skyriuje. ERĮ </w:t>
      </w:r>
      <w:hyperlink r:id="rId8" w:anchor="#" w:tgtFrame="_blank" w:tooltip="Elektroninių ryšių paslaugų teikėjų ir galutinių paslaugų gavėjų pareigos ir teisės" w:history="1">
        <w:r w:rsidRPr="00045F71">
          <w:rPr>
            <w:rStyle w:val="Hyperlink"/>
            <w:color w:val="000000"/>
            <w:szCs w:val="24"/>
            <w:u w:val="none"/>
          </w:rPr>
          <w:t>34</w:t>
        </w:r>
      </w:hyperlink>
      <w:r w:rsidRPr="00045F71">
        <w:rPr>
          <w:szCs w:val="24"/>
        </w:rPr>
        <w:t xml:space="preserve"> straipsnio 1 dalyje nustatyta, kad elektroninių ryšių paslaugos turi būti teikiamos ir elektroninių ryšių paslaugų teikimo sutartis sudaroma pagal Elektroninių ryšių paslaugų teikimo taisykles, patvirtintas Tarnybos direktoriaus 2005 m. gruodžio 23 d. įsakymu Nr. 1V-1160 „Dėl Elektroninių ryšių paslaugų teikimo taisyklių patvirtinimo“, (toliau − ERPT taisyklės)</w:t>
      </w:r>
      <w:r w:rsidRPr="00045F71">
        <w:rPr>
          <w:color w:val="000000"/>
          <w:szCs w:val="24"/>
        </w:rPr>
        <w:t xml:space="preserve">. </w:t>
      </w:r>
      <w:r w:rsidRPr="00045F71">
        <w:rPr>
          <w:szCs w:val="24"/>
        </w:rPr>
        <w:t xml:space="preserve">Atsižvelgiant į tai, kas išdėstyta, konstatuotina, kad Vartotojo ir Teikėjo civilinius teisinius santykius dėl sutartyje nurodytų </w:t>
      </w:r>
      <w:r w:rsidRPr="00045F71">
        <w:rPr>
          <w:bCs/>
          <w:szCs w:val="24"/>
        </w:rPr>
        <w:t>p</w:t>
      </w:r>
      <w:r w:rsidRPr="00045F71">
        <w:rPr>
          <w:szCs w:val="24"/>
        </w:rPr>
        <w:t>aslaugų teikimo reglamentuoja CK, ERĮ bei ERPT taisyklės.</w:t>
      </w:r>
    </w:p>
    <w:p w:rsidR="00031D65" w:rsidRPr="00045F71" w:rsidRDefault="00031D65" w:rsidP="00031D65">
      <w:pPr>
        <w:pStyle w:val="Header"/>
        <w:tabs>
          <w:tab w:val="clear" w:pos="4320"/>
          <w:tab w:val="clear" w:pos="8640"/>
        </w:tabs>
        <w:ind w:firstLine="720"/>
        <w:jc w:val="both"/>
        <w:rPr>
          <w:szCs w:val="24"/>
        </w:rPr>
      </w:pPr>
      <w:r w:rsidRPr="00045F71">
        <w:rPr>
          <w:szCs w:val="24"/>
        </w:rPr>
        <w:t>Vadovaujantis CK 6.721 straipsnio, reglamentuojančio vienašalį atlygintinų paslaugų, tarp jų ir elektroninių ryšių paslaugų, teikimo sutarties nutraukimą, 1 dalimi, klientas turi teisę vienašališkai nutraukti sutartį, nepaisydamas to, kad paslaugų teikėjas jau pradėjo ją vykdyti. Taigi, įstatymai suteikia paslaugų gavėjui teisę vienašališkai nutraukti su paslaugų teikėju sudarytą sutartį bet kuriuo šios sutarties galiojimo metu. Kliento teisė atsisakyti bet kuriuo momentu nuo teikiamų paslaugų aiškintina tuo, kad paslaugos gali būti teikiamos tik esant kliento sutikimui.</w:t>
      </w:r>
    </w:p>
    <w:p w:rsidR="00031D65" w:rsidRPr="00045F71" w:rsidRDefault="00031D65" w:rsidP="00031D65">
      <w:pPr>
        <w:pStyle w:val="Standard"/>
        <w:ind w:firstLine="720"/>
        <w:jc w:val="both"/>
        <w:rPr>
          <w:rFonts w:cs="Times New Roman"/>
          <w:color w:val="000000"/>
        </w:rPr>
      </w:pPr>
      <w:r w:rsidRPr="00045F71">
        <w:rPr>
          <w:rFonts w:cs="Times New Roman"/>
          <w:bCs/>
        </w:rPr>
        <w:t>Pažymėtina, kad CK 6.721 straipsnio 1 dalyje nustatyta, kad k</w:t>
      </w:r>
      <w:r w:rsidRPr="00045F71">
        <w:rPr>
          <w:rFonts w:cs="Times New Roman"/>
          <w:color w:val="000000"/>
        </w:rPr>
        <w:t>lientas turi teisę vienašališkai nutraukti sutartį, nepaisydamas to, kad paslaugų teikėjas jau pradėjo ją vykdyti.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LAT, aiškindamas CK 6.721 straipsnio 1 dalį, yra nurodęs, kad klientui vienašališkai nutraukiant paslaugų sutartį pagal šią teisės normą turi būti užtikrinta ir paslaugų teikėjo interesų pusiausvyra, apsaugoti jo turtiniai interesai</w:t>
      </w:r>
      <w:r w:rsidRPr="00045F71">
        <w:rPr>
          <w:rStyle w:val="FootnoteReference"/>
          <w:rFonts w:cs="Times New Roman"/>
        </w:rPr>
        <w:footnoteReference w:id="1"/>
      </w:r>
      <w:r w:rsidRPr="00045F71">
        <w:rPr>
          <w:rFonts w:cs="Times New Roman"/>
          <w:color w:val="000000"/>
        </w:rPr>
        <w:t>. Kaip minėta, CK 6.721 straipsnio 1 dalies nuostatos numato pareigą vienašališkai atlygintinų paslaugų sutartį nutraukiančiam klientui sumokėti paslaugų teikėjui kainos dalį, proporcingą suteiktoms paslaugoms, ir atlyginti kitas protingas išlaidas, kurias paslaugų teikėjas, norėdamas įvykdyti sutartį, padarė iki pranešimo apie sutarties nutraukimą gavimo iš kliento, t. y. turi būti įrodytas nuostolių dydis ir tai, jog juos nulėmė kliento sprendimas atsisakyti tolesnio paslaugų teikimo</w:t>
      </w:r>
      <w:r w:rsidRPr="00045F71">
        <w:rPr>
          <w:rStyle w:val="FootnoteReference"/>
          <w:rFonts w:cs="Times New Roman"/>
        </w:rPr>
        <w:footnoteReference w:id="2"/>
      </w:r>
      <w:r w:rsidRPr="00045F71">
        <w:rPr>
          <w:rFonts w:cs="Times New Roman"/>
          <w:color w:val="000000"/>
        </w:rPr>
        <w:t xml:space="preserve">. </w:t>
      </w:r>
    </w:p>
    <w:p w:rsidR="00031D65" w:rsidRPr="00045F71" w:rsidRDefault="00031D65" w:rsidP="00031D65">
      <w:pPr>
        <w:pStyle w:val="Standard"/>
        <w:ind w:firstLine="720"/>
        <w:jc w:val="both"/>
        <w:rPr>
          <w:rFonts w:cs="Times New Roman"/>
          <w:color w:val="000000"/>
        </w:rPr>
      </w:pPr>
      <w:r w:rsidRPr="00045F71">
        <w:rPr>
          <w:rFonts w:cs="Times New Roman"/>
          <w:color w:val="000000"/>
        </w:rPr>
        <w:t xml:space="preserve">Taigi, iš minėtų CK nuostatų seka, kad, pirma, sąskaitos, kurias Teikėjas pateikė Vartotojui už suteiktas paslaugas sutarties vykdymo laikotarpiu, privalo būti apmokėtos. </w:t>
      </w:r>
    </w:p>
    <w:p w:rsidR="00031D65" w:rsidRPr="00045F71" w:rsidRDefault="00031D65" w:rsidP="00031D65">
      <w:pPr>
        <w:pStyle w:val="Header"/>
        <w:tabs>
          <w:tab w:val="clear" w:pos="4320"/>
          <w:tab w:val="clear" w:pos="8640"/>
          <w:tab w:val="right" w:pos="0"/>
          <w:tab w:val="left" w:pos="720"/>
        </w:tabs>
        <w:jc w:val="both"/>
        <w:rPr>
          <w:szCs w:val="24"/>
        </w:rPr>
      </w:pPr>
      <w:r w:rsidRPr="00045F71">
        <w:rPr>
          <w:szCs w:val="24"/>
        </w:rPr>
        <w:tab/>
        <w:t xml:space="preserve">Antra, sutartyje buvo nustatytas 24 mėnesių minimalus naudojimosi paslaugomis laikotarpis, o ginčas tarp Vartotojo ir Teikėjo yra kilęs dėl teisinių pasekmių, Vartotojui įgyvendinus teisę nutraukti sutartį nesibaigus minimaliam naudojimosi paslaugomis terminui, t. y. pažeidus savo </w:t>
      </w:r>
      <w:r w:rsidRPr="00045F71">
        <w:rPr>
          <w:szCs w:val="24"/>
        </w:rPr>
        <w:lastRenderedPageBreak/>
        <w:t>įsipareigojimą naudotis paslaugomis ne mažiau kaip visą minimalų naudojimosi paslaugomis laikotarpį.</w:t>
      </w:r>
    </w:p>
    <w:p w:rsidR="00031D65" w:rsidRPr="00045F71" w:rsidRDefault="00031D65" w:rsidP="00031D65">
      <w:pPr>
        <w:pStyle w:val="Header"/>
        <w:tabs>
          <w:tab w:val="clear" w:pos="4320"/>
          <w:tab w:val="clear" w:pos="8640"/>
          <w:tab w:val="right" w:pos="0"/>
          <w:tab w:val="left" w:pos="720"/>
        </w:tabs>
        <w:jc w:val="both"/>
        <w:rPr>
          <w:szCs w:val="24"/>
        </w:rPr>
      </w:pPr>
      <w:r w:rsidRPr="00045F71">
        <w:rPr>
          <w:szCs w:val="24"/>
        </w:rPr>
        <w:tab/>
        <w:t>Pažymėtina, kad ERPT t</w:t>
      </w:r>
      <w:r w:rsidRPr="00045F71">
        <w:rPr>
          <w:rStyle w:val="FontStyle18"/>
          <w:sz w:val="24"/>
          <w:szCs w:val="24"/>
        </w:rPr>
        <w:t>aisyklių 6.7 papunktyje numatyta, jog „</w:t>
      </w:r>
      <w:r w:rsidRPr="00045F71">
        <w:rPr>
          <w:rStyle w:val="FontStyle18"/>
          <w:i/>
          <w:sz w:val="24"/>
          <w:szCs w:val="24"/>
        </w:rPr>
        <w:t xml:space="preserve">Sutartyje, sudaromoje su abonentu raštu &lt;...&gt;, Teikėjas privalo aiškiai nurodyti </w:t>
      </w:r>
      <w:r w:rsidRPr="00045F71">
        <w:rPr>
          <w:i/>
          <w:szCs w:val="24"/>
        </w:rPr>
        <w:t>Sutarties galiojimo terminą, Sutarties pakeitimo ar papildymo bei nutraukimo sąlygas ir tvarką</w:t>
      </w:r>
      <w:r w:rsidRPr="00045F71">
        <w:rPr>
          <w:rStyle w:val="FontStyle18"/>
          <w:sz w:val="24"/>
          <w:szCs w:val="24"/>
        </w:rPr>
        <w:t>“,</w:t>
      </w:r>
      <w:r w:rsidRPr="00045F71">
        <w:rPr>
          <w:rStyle w:val="FontStyle18"/>
          <w:i/>
          <w:sz w:val="24"/>
          <w:szCs w:val="24"/>
        </w:rPr>
        <w:t xml:space="preserve"> </w:t>
      </w:r>
      <w:r w:rsidRPr="00045F71">
        <w:rPr>
          <w:rStyle w:val="FontStyle18"/>
          <w:sz w:val="24"/>
          <w:szCs w:val="24"/>
        </w:rPr>
        <w:t>įskaitant</w:t>
      </w:r>
      <w:r w:rsidRPr="00045F71">
        <w:rPr>
          <w:szCs w:val="24"/>
        </w:rPr>
        <w:t xml:space="preserve"> ERPT taisyklių 6.7.2 papunktyje nurodytus visus užmokesčius, mokėtinus nutraukiant elektroninių ryšių paslaugų teikimo sutartį.</w:t>
      </w:r>
    </w:p>
    <w:p w:rsidR="00031D65" w:rsidRPr="00045F71" w:rsidRDefault="00031D65" w:rsidP="00031D65">
      <w:pPr>
        <w:pStyle w:val="Header"/>
        <w:tabs>
          <w:tab w:val="clear" w:pos="4320"/>
          <w:tab w:val="clear" w:pos="8640"/>
          <w:tab w:val="right" w:pos="0"/>
          <w:tab w:val="left" w:pos="720"/>
        </w:tabs>
        <w:jc w:val="both"/>
        <w:rPr>
          <w:szCs w:val="24"/>
        </w:rPr>
      </w:pPr>
      <w:r w:rsidRPr="00045F71">
        <w:rPr>
          <w:szCs w:val="24"/>
        </w:rPr>
        <w:tab/>
        <w:t>Sutartyje nurodyta, kad „</w:t>
      </w:r>
      <w:r w:rsidRPr="00045F71">
        <w:rPr>
          <w:i/>
          <w:szCs w:val="24"/>
        </w:rPr>
        <w:t>Pasirašydamas šią Sutartį taip pat patvirtinu, kad esu susipažinęs su Sutarties Bendrosiomis sąlygomis, galiojančiomis nuo 2016-04-29, jas gavau, su jomis sutinku ir įsipareigoju jų laikytis. Sutarties Bendrosios sąlygos, galiojančios nuo 2016-04-29, yra skelbiamos internetinėje svetainėje www.mezon.lt/sutartys</w:t>
      </w:r>
      <w:r w:rsidRPr="00045F71">
        <w:rPr>
          <w:szCs w:val="24"/>
        </w:rPr>
        <w:t>“. Atsižvelgiant į tai, jog minėtą patvirtinimą Vartotojas pasirašė atskirai, laikytina, kad Vartotojas su Bendrosiomis sąlygomis buvo supažindintas kaip to reikalauja ERPT taisyklių 6.7 papunktis.</w:t>
      </w:r>
    </w:p>
    <w:p w:rsidR="00031D65" w:rsidRPr="00045F71" w:rsidRDefault="00031D65" w:rsidP="00031D65">
      <w:pPr>
        <w:pStyle w:val="Default"/>
        <w:ind w:firstLine="720"/>
        <w:jc w:val="both"/>
      </w:pPr>
      <w:r w:rsidRPr="00045F71">
        <w:rPr>
          <w:bCs/>
        </w:rPr>
        <w:t>Sutarties specialiųjų sąlygų 1 punkte yra nustatytas 24 mėn. minimalus naudojimosi paslaugomis laikotarpis. Vadovaujantis Bendrųjų sąlygų 11.2 papunkčiu, „</w:t>
      </w:r>
      <w:r w:rsidRPr="00045F71">
        <w:rPr>
          <w:i/>
        </w:rPr>
        <w:t>Jei Specialiosiose sąlygose yra nustatytas Minimalus naudojimosi Paslaugomis laikotarpis, tuomet Sutartis laikoma terminuota ir galioja visą šį laikotarpį.</w:t>
      </w:r>
      <w:r w:rsidRPr="00045F71">
        <w:t xml:space="preserve"> </w:t>
      </w:r>
      <w:r w:rsidRPr="00045F71">
        <w:rPr>
          <w:bCs/>
          <w:i/>
        </w:rPr>
        <w:t xml:space="preserve"> &lt;...&gt;</w:t>
      </w:r>
      <w:r w:rsidRPr="00045F71">
        <w:rPr>
          <w:bCs/>
        </w:rPr>
        <w:t xml:space="preserve">“, 11.3 papunkčiu, </w:t>
      </w:r>
      <w:r w:rsidRPr="00045F71">
        <w:t>„</w:t>
      </w:r>
      <w:r w:rsidRPr="00045F71">
        <w:rPr>
          <w:i/>
        </w:rPr>
        <w:t>Kiekviena šalis turi teisę nutraukti terminuotą Sutartį vienašališkai, įspėjusi kitą šalį raštu ne vėliau kaip prieš 30 (trisdešimt) kalendorinių dienų, jei Sutartyje nenumatytas kitoks terminas. Paslaugų teikimas nutraukiamas ne anksčiau nei pasibaigs įspėjimui numatytas terminas. &lt;...&gt;</w:t>
      </w:r>
      <w:r w:rsidRPr="00045F71">
        <w:t>“. Bendrųjų sąlygų 11.4 papunktyje įtvirtinta, kad „</w:t>
      </w:r>
      <w:r w:rsidRPr="00045F71">
        <w:rPr>
          <w:i/>
        </w:rPr>
        <w:t>Sutarties nutraukimas Paslaugų gavėjo iniciatyva ar dėl Paslaugų gavėjo kaltės arba konkrečios užsakytos Paslaugos atsisakymas neatleidžia Paslaugų gavėjo nuo pareigos atsiskaityti su Telecentru už Įrangą ir suteiktas Paslaugas iki Sutarties nutraukimo ir (arba) Paslaugos atsisakymo dienos. Jei nėra pasibaigęs Minimalus naudojimosi Paslaugomis laikotarpis, Paslaugų gavėjas turi sumokėti Telecentrui 11,58 € dydžio netesybas už kiekvieną likusį Minimalaus naudojimosi Paslaugomis laikotarpio mėnesį, įskaitant atvejus, kai sutartis nutraukiama Telecentro iniciatyva dėl Paslaugų gavėjo kaltės. Tokiu atveju Paslaugų gavėjas taip pat turi sumokėti visus su faktiškai suteiktomis Paslaugomis susijusius mokesčius bei Paslaugų aktyvavimo, įdiegimo ir Įrangos mokesčius – jei tokie nebuvo sumokėti – ir atlyginti kitas Telecentro išlaidas, kurias Telecentras, norėdamas įvykdyti Sutartį, turėjo iki pranešimo apie Sutarties nutraukimą gavimo iš Paslaugų gavėjo dienos arba iki aplinkybių, dėl kurių Sutartis turėjo būti nutraukta dėl Paslaugų gavėjo kaltės, atsiradimo dienos. Šiame punkte nustatytos netesybos abiejų Sutarties šalių sutarimu laikomos minimaliais Telecentro dėl nesavalaikio Sutarties nutraukimo patirtais tiesioginiais nuostoliais, kurių Telecentrui nebereikia įrodinėti.</w:t>
      </w:r>
      <w:r w:rsidRPr="00045F71">
        <w:t>“ Atkreiptinas dėmesys į tai, kad Bendrųjų sąlygų 11.5 papunktis Bendrųjų sąlygų 11.4 papunktyje nustatytas sumas įvardina kaip suteiktas nuolaidas.</w:t>
      </w:r>
    </w:p>
    <w:p w:rsidR="00031D65" w:rsidRPr="00045F71" w:rsidRDefault="00031D65" w:rsidP="00031D65">
      <w:pPr>
        <w:pStyle w:val="Header"/>
        <w:tabs>
          <w:tab w:val="clear" w:pos="4320"/>
          <w:tab w:val="clear" w:pos="8640"/>
        </w:tabs>
        <w:ind w:firstLine="720"/>
        <w:jc w:val="both"/>
        <w:rPr>
          <w:szCs w:val="24"/>
        </w:rPr>
      </w:pPr>
      <w:r w:rsidRPr="00045F71">
        <w:rPr>
          <w:szCs w:val="24"/>
        </w:rPr>
        <w:t>ERPT taisyklių 12 punkte numatyta, kad elektroninių ryšių paslaugų teikimo sutartį abonentas turi teisę nutraukti anksčiau laiko, jei elektroninių ryšių paslaugų teikėjas pakeičia elektroninių ryšių paslaugų teikimo sutarties sąlygas, įskaitant ir elektroninių ryšių paslaugų teikimo sutartyje nurodytų elektroninių ryšių paslaugų kainų padidinimą, arba iš esmės pažeidžia elektroninių ryšių paslaugų teikimo sutartį. ERPT taisyklių 12 punkte numatytais atvejais abonentui nutraukus elektroninių ryšių paslaugų teikimo sutartį, elektroninių ryšių paslaugų teikėjas neturi teisės taikyti abonentui netesybų dėl priešlaikinio elektroninių ryšių paslaugų teikimo sutarties nutraukimo.</w:t>
      </w:r>
    </w:p>
    <w:p w:rsidR="00031D65" w:rsidRPr="00045F71" w:rsidRDefault="00031D65" w:rsidP="00031D65">
      <w:pPr>
        <w:spacing w:after="0" w:line="240" w:lineRule="auto"/>
        <w:ind w:firstLine="720"/>
        <w:jc w:val="both"/>
        <w:rPr>
          <w:rFonts w:ascii="Times New Roman" w:hAnsi="Times New Roman" w:cs="Times New Roman"/>
          <w:sz w:val="24"/>
          <w:szCs w:val="24"/>
          <w:lang w:eastAsia="lt-LT"/>
        </w:rPr>
      </w:pPr>
      <w:r w:rsidRPr="00045F71">
        <w:rPr>
          <w:rFonts w:ascii="Times New Roman" w:hAnsi="Times New Roman" w:cs="Times New Roman"/>
          <w:bCs/>
          <w:sz w:val="24"/>
          <w:szCs w:val="24"/>
        </w:rPr>
        <w:t xml:space="preserve">Vartotojo nuomone, Teikėjas pažeidė sutartį iš esmės neteikdamas kokybiškų, sutartimi prisiimtus įsipareigojimus atitinkančių, paslaugų. Taigi, ginčas iš esmės yra kilęs dėl paslaugų kokybės, t. y. fakto, jog paslaugų kokybė atitinka sutarties nuostatas, buvimo ar nebuvimo. </w:t>
      </w:r>
    </w:p>
    <w:p w:rsidR="00031D65" w:rsidRPr="00045F71" w:rsidRDefault="00031D65" w:rsidP="00031D65">
      <w:pPr>
        <w:pStyle w:val="Header"/>
        <w:tabs>
          <w:tab w:val="clear" w:pos="4320"/>
          <w:tab w:val="clear" w:pos="8640"/>
        </w:tabs>
        <w:ind w:firstLine="720"/>
        <w:jc w:val="both"/>
        <w:rPr>
          <w:szCs w:val="24"/>
        </w:rPr>
      </w:pPr>
      <w:r w:rsidRPr="00045F71">
        <w:rPr>
          <w:szCs w:val="24"/>
          <w:lang w:eastAsia="lt-LT"/>
        </w:rPr>
        <w:t xml:space="preserve">ERPT taisyklių 19 punkte nustatyta, </w:t>
      </w:r>
      <w:r w:rsidRPr="00045F71">
        <w:rPr>
          <w:bCs/>
          <w:szCs w:val="24"/>
          <w:lang w:eastAsia="lt-LT"/>
        </w:rPr>
        <w:t>jog „</w:t>
      </w:r>
      <w:r w:rsidRPr="00045F71">
        <w:rPr>
          <w:bCs/>
          <w:i/>
          <w:szCs w:val="24"/>
        </w:rPr>
        <w:t>Teikėjas privalo užtikrinti, kad abonentas visą parą arba Sutartyje ar Teikėjo Paslaugų teikimo taisyklėse, jei Sutartis sudaroma konkliudentiniais veiksmais, nurodytą trumpesnį laiką galėtų prisijungti prie Teikėjo tinklo naudodamas Paslaugų gavimo galinius įrenginius, atitinkančius teisės aktų nustatytus reikalavimus, ir naudotis Teikėjo teikiamomis Paslaugomis, kurių kokybė atitinka galinio įrenginio parametrus.</w:t>
      </w:r>
      <w:r w:rsidRPr="00045F71">
        <w:rPr>
          <w:bCs/>
          <w:szCs w:val="24"/>
        </w:rPr>
        <w:t xml:space="preserve">“ </w:t>
      </w:r>
    </w:p>
    <w:p w:rsidR="00031D65" w:rsidRPr="00045F71" w:rsidRDefault="00031D65" w:rsidP="00031D65">
      <w:pPr>
        <w:pStyle w:val="Header"/>
        <w:tabs>
          <w:tab w:val="clear" w:pos="4320"/>
          <w:tab w:val="clear" w:pos="8640"/>
        </w:tabs>
        <w:ind w:firstLine="720"/>
        <w:jc w:val="both"/>
        <w:rPr>
          <w:szCs w:val="24"/>
        </w:rPr>
      </w:pPr>
      <w:r w:rsidRPr="00045F71">
        <w:rPr>
          <w:szCs w:val="24"/>
        </w:rPr>
        <w:lastRenderedPageBreak/>
        <w:t>2015 m. lapkričio 25 d. buvo priimtas Europos Parlamento ir Tarybos reglamentas (ES) 2015/2120</w:t>
      </w:r>
      <w:r w:rsidRPr="00045F71">
        <w:rPr>
          <w:rStyle w:val="FootnoteReference"/>
          <w:szCs w:val="24"/>
        </w:rPr>
        <w:footnoteReference w:id="3"/>
      </w:r>
      <w:r w:rsidRPr="00045F71">
        <w:rPr>
          <w:szCs w:val="24"/>
        </w:rPr>
        <w:t xml:space="preserve"> (toliau – Reglamentas), kuris </w:t>
      </w:r>
      <w:r w:rsidRPr="00045F71">
        <w:rPr>
          <w:i/>
          <w:szCs w:val="24"/>
        </w:rPr>
        <w:t>inter alia</w:t>
      </w:r>
      <w:r w:rsidRPr="00045F71">
        <w:rPr>
          <w:szCs w:val="24"/>
        </w:rPr>
        <w:t xml:space="preserve"> nustatė tinklų neutralumo principus ir pareigą interneto prieigos paslaugų teikėjui sutartyje nurodyti informaciją, susijusią su interneto prieigos paslaugomis. Reglamento 4 straipsnio 1 dalies d) punktas numato pareigą interneto prieigos paslaugų teikėjui sutartyje pateikti „</w:t>
      </w:r>
      <w:r w:rsidRPr="00045F71">
        <w:rPr>
          <w:i/>
          <w:color w:val="000000"/>
          <w:szCs w:val="24"/>
          <w:lang w:eastAsia="lt-LT"/>
        </w:rPr>
        <w:t>aiškų ir suprantamą paaiškinimą apie &lt;...&gt; interneto prieigos paslaugų numatomą didžiausią ir reklamuojamą parsisiuntimo ir išsiuntimo spartą judriojo ryšio tinklų atveju, ir apie tai, kokį poveikį reikšmingi nukrypimai nuo atitinkamos reklamuojamos parsisiuntimo ir išsiuntimo spartos galėtų turėti naudojimuisi 3 straipsnio 1 dalyje nustatytomis galutinių paslaugų gavėjų teisėmis</w:t>
      </w:r>
      <w:r w:rsidRPr="00045F71">
        <w:rPr>
          <w:color w:val="000000"/>
          <w:szCs w:val="24"/>
          <w:lang w:eastAsia="lt-LT"/>
        </w:rPr>
        <w:t>“.</w:t>
      </w:r>
    </w:p>
    <w:p w:rsidR="00031D65" w:rsidRPr="00045F71" w:rsidRDefault="00031D65" w:rsidP="00031D65">
      <w:pPr>
        <w:pStyle w:val="Header"/>
        <w:tabs>
          <w:tab w:val="clear" w:pos="4320"/>
          <w:tab w:val="clear" w:pos="8640"/>
        </w:tabs>
        <w:ind w:firstLine="720"/>
        <w:jc w:val="both"/>
        <w:rPr>
          <w:bCs/>
          <w:szCs w:val="24"/>
        </w:rPr>
      </w:pPr>
      <w:r w:rsidRPr="00045F71">
        <w:rPr>
          <w:bCs/>
          <w:szCs w:val="24"/>
        </w:rPr>
        <w:t>Sutarties specialiųjų sąlygų 1 punkte pateiktame trumpame mokėjimo plano, pagal kurį Vartotojui buvo teikiamos paslaugos, aprašyme nurodyta „LTE 20“, taip pat rašte Teikėjas patvirtino, jog pagal sutartį Vartotojui suteikiama greitaveika iki 20 Mb/s. Sutarties 3 punkte numatyta, kad „</w:t>
      </w:r>
      <w:r w:rsidRPr="00045F71">
        <w:rPr>
          <w:bCs/>
          <w:i/>
          <w:szCs w:val="24"/>
        </w:rPr>
        <w:t>Minimali (parsisiuntimo ir išsiuntimo) sparta 128 kbps; maksimali parsisiuntimo sparta 20 mb/s; maksimali išsiuntimo sparta 2,5 mb/s, reklamuojama (parsisiuntimo ir išsiuntimo) sparta 20 mb/s</w:t>
      </w:r>
      <w:r w:rsidRPr="00045F71">
        <w:rPr>
          <w:bCs/>
          <w:szCs w:val="24"/>
        </w:rPr>
        <w:t>“. Pastebėtina, kad paslaugų gavėjo apsisprendimą naudotis konkretaus paslaugų teikėjo paslaugomis lemia paslaugų teikėjų siūlomi mokėjimo planai, kurie formuojami pagal maksimalią siūlomą duomenų perdavimo ir priėmimo spartą, kas akivaizdžiai matyti iš Teikėjo interneto svetainėje skelbiamos informacijos apie siūlomus mokėjimo planus</w:t>
      </w:r>
      <w:r w:rsidRPr="00045F71">
        <w:rPr>
          <w:rStyle w:val="FootnoteReference"/>
          <w:bCs/>
          <w:szCs w:val="24"/>
        </w:rPr>
        <w:footnoteReference w:id="4"/>
      </w:r>
      <w:r w:rsidRPr="00045F71">
        <w:rPr>
          <w:bCs/>
          <w:szCs w:val="24"/>
        </w:rPr>
        <w:t>. Taigi, paslaugų gavėjas turi lūkestį gauti paslaugas, kurių kokybės santykis vertintinas, lyginant faktiškai gaunamą su maksimalia duomenų perdavimo ir priėmimo sparta</w:t>
      </w:r>
      <w:r w:rsidRPr="00045F71">
        <w:rPr>
          <w:szCs w:val="24"/>
        </w:rPr>
        <w:t xml:space="preserve"> (Vartotojas, sudarydamas sutartį, pasirinko mokėjimo planą „LTE 20“</w:t>
      </w:r>
      <w:r w:rsidRPr="00045F71">
        <w:rPr>
          <w:bCs/>
          <w:szCs w:val="24"/>
        </w:rPr>
        <w:t xml:space="preserve">). </w:t>
      </w:r>
      <w:r w:rsidRPr="00045F71">
        <w:rPr>
          <w:szCs w:val="24"/>
        </w:rPr>
        <w:t xml:space="preserve">Tačiau tuo pačiu Tarnyba pripažįsta, kad nurodyta maksimali iki 20 Mbps duomenų perdavimo ir priėmimo sparta pagal mokėjimo planą „LTE 20“ neleidžia paslaugų gavėjui (Vartotojui) pagrįstai tikėtis, kad būtent maksimalia duomenų perdavimo ir priėmimo sparta paslaugų teikimas visada bus užtikrinamas, juolab, kad Teikėjas pateikia informaciją, kad </w:t>
      </w:r>
      <w:r w:rsidRPr="00045F71">
        <w:rPr>
          <w:rStyle w:val="FontStyle79"/>
          <w:rFonts w:ascii="Times New Roman" w:hAnsi="Times New Roman" w:cs="Times New Roman"/>
          <w:sz w:val="24"/>
          <w:szCs w:val="24"/>
        </w:rPr>
        <w:t>maksimali duomenų perdavimo ir priėmimo sparta priklauso nuo, be kita ko, klientų vartojimo pobūdžio vienoje stotyje (sutarties specialiųjų sąlygų 3 punktas)</w:t>
      </w:r>
      <w:r w:rsidRPr="00045F71">
        <w:rPr>
          <w:szCs w:val="24"/>
        </w:rPr>
        <w:t>. Be to, viename įraše iš Teikėjo pateikto gedimų registravimo istorijos išrašo yra pastaba, kad Vartotojas, Teikėjui skųsdamasis dėl paslaugų kokybės, nurodė, jog Teikėjo paslaugoms gauti „</w:t>
      </w:r>
      <w:r w:rsidRPr="00045F71">
        <w:rPr>
          <w:i/>
          <w:szCs w:val="24"/>
        </w:rPr>
        <w:t>visi 6 įrenginiai jungdavosi per wifi</w:t>
      </w:r>
      <w:r w:rsidRPr="00045F71">
        <w:rPr>
          <w:szCs w:val="24"/>
        </w:rPr>
        <w:t xml:space="preserve">“. Tarnyba atkreipia dėmesį, kad </w:t>
      </w:r>
      <w:r w:rsidRPr="00045F71">
        <w:rPr>
          <w:bCs/>
          <w:szCs w:val="24"/>
        </w:rPr>
        <w:t>interneto ryšys per belaidę prieigą gali veikti lėtai ir trūkinėti dėl kaimynystėje esančių Wi-Fi įrenginių, kurių analogišku dažniu skleidžiami radijo signalai sąveikauja tarpusavyje ir tokiu būdu slopina duomenų perdavimą. Be to, jungiantis keliems įrenginiams prie viešojo ryšio tinklo galinio taško (per belaidę prieigą), negalima tikėtis, jog visuose įrenginiuose paslaugos bus teikiamos maksimalia duomenų pasisiuntimo ir išsiuntimo sparta.</w:t>
      </w:r>
    </w:p>
    <w:p w:rsidR="00031D65" w:rsidRPr="00045F71" w:rsidRDefault="00031D65" w:rsidP="00031D65">
      <w:pPr>
        <w:tabs>
          <w:tab w:val="right" w:pos="0"/>
          <w:tab w:val="left" w:pos="709"/>
        </w:tabs>
        <w:spacing w:after="0" w:line="240" w:lineRule="auto"/>
        <w:ind w:firstLine="709"/>
        <w:jc w:val="both"/>
        <w:rPr>
          <w:rFonts w:ascii="Times New Roman" w:hAnsi="Times New Roman" w:cs="Times New Roman"/>
          <w:bCs/>
          <w:sz w:val="24"/>
          <w:szCs w:val="24"/>
        </w:rPr>
      </w:pPr>
      <w:r w:rsidRPr="00045F71">
        <w:rPr>
          <w:rFonts w:ascii="Times New Roman" w:hAnsi="Times New Roman" w:cs="Times New Roman"/>
          <w:bCs/>
          <w:sz w:val="24"/>
          <w:szCs w:val="24"/>
        </w:rPr>
        <w:t xml:space="preserve">Kadangi Vartotojas prašyme nurodė, kad paslaugų teikimo sutrikimai pastebimi vakarais, Tarnybos Infrastruktūros ir įrenginių kontrolės departamento Infrastruktūros priežiūros skyriaus specialistai 2016 m. gruodžio 22 d. nuo 19.35 val. iki 19.55 val. atliko interneto prieigos paslaugų kokybės rodiklių vertinimo bandymus adresu </w:t>
      </w:r>
      <w:r w:rsidR="0000624F">
        <w:rPr>
          <w:rFonts w:ascii="Times New Roman" w:hAnsi="Times New Roman" w:cs="Times New Roman"/>
          <w:bCs/>
          <w:sz w:val="24"/>
          <w:szCs w:val="24"/>
        </w:rPr>
        <w:t>(duomenys neskelbtini)</w:t>
      </w:r>
      <w:r w:rsidRPr="00045F71">
        <w:rPr>
          <w:rFonts w:ascii="Times New Roman" w:hAnsi="Times New Roman" w:cs="Times New Roman"/>
          <w:bCs/>
          <w:sz w:val="24"/>
          <w:szCs w:val="24"/>
        </w:rPr>
        <w:t>, t. y. adresu, nurodytu prašyme</w:t>
      </w:r>
      <w:r w:rsidRPr="00045F71">
        <w:rPr>
          <w:rFonts w:ascii="Times New Roman" w:hAnsi="Times New Roman" w:cs="Times New Roman"/>
          <w:sz w:val="24"/>
          <w:szCs w:val="24"/>
        </w:rPr>
        <w:t xml:space="preserve">. Bandymai buvo atlikti vadovaujantis Interneto prieigos paslaugų kokybės rodiklių įvertinimo metodika, patvirtinta Tarnybos direktoriaus 2009 m. kovo 20 d. įsakymu Nr. 1V-344 „Dėl Interneto prieigos paslaugų kokybės rodiklių įvertinimo metodikos patvirtinimo“. Bandymų metu buvo patikrinta prisijungimo prie Teikėjo tinklo kokybė. Atlikus vienuolika duomenų perdavimo bandymų gavimo ir siuntimo kryptimis, naudojant Tarnybos galinę įrangą, adresu </w:t>
      </w:r>
      <w:r w:rsidR="0000624F">
        <w:rPr>
          <w:rFonts w:ascii="Times New Roman" w:hAnsi="Times New Roman" w:cs="Times New Roman"/>
          <w:bCs/>
          <w:sz w:val="24"/>
          <w:szCs w:val="24"/>
        </w:rPr>
        <w:t>(duomenys neskelbtini)</w:t>
      </w:r>
      <w:r w:rsidRPr="00045F71">
        <w:rPr>
          <w:rFonts w:ascii="Times New Roman" w:hAnsi="Times New Roman" w:cs="Times New Roman"/>
          <w:sz w:val="24"/>
          <w:szCs w:val="24"/>
        </w:rPr>
        <w:t xml:space="preserve">, nustatyta vidutinė duomenų gavimo sparta 28,99 Mbps, vidutinė duomenų siuntimo sparta 1,87 Mbps, vidutinis ryšio signalo lygis -73 dBm. Taigi, iš Tarnybos atliktų bandymų duomenų visumos matyti, kad adresu </w:t>
      </w:r>
      <w:r w:rsidR="0000624F">
        <w:rPr>
          <w:rFonts w:ascii="Times New Roman" w:hAnsi="Times New Roman" w:cs="Times New Roman"/>
          <w:bCs/>
          <w:sz w:val="24"/>
          <w:szCs w:val="24"/>
        </w:rPr>
        <w:t>(duomenys neskelbtini)</w:t>
      </w:r>
      <w:r w:rsidRPr="00045F71">
        <w:rPr>
          <w:rFonts w:ascii="Times New Roman" w:hAnsi="Times New Roman" w:cs="Times New Roman"/>
          <w:bCs/>
          <w:sz w:val="24"/>
          <w:szCs w:val="24"/>
        </w:rPr>
        <w:t>,</w:t>
      </w:r>
      <w:r w:rsidRPr="00045F71">
        <w:rPr>
          <w:rFonts w:ascii="Times New Roman" w:hAnsi="Times New Roman" w:cs="Times New Roman"/>
          <w:sz w:val="24"/>
          <w:szCs w:val="24"/>
        </w:rPr>
        <w:t xml:space="preserve"> yra galimybė gauti kokybiškas paslaugas, teikiamas iki </w:t>
      </w:r>
      <w:r w:rsidRPr="00045F71">
        <w:rPr>
          <w:rFonts w:ascii="Times New Roman" w:hAnsi="Times New Roman" w:cs="Times New Roman"/>
          <w:sz w:val="24"/>
          <w:szCs w:val="24"/>
        </w:rPr>
        <w:lastRenderedPageBreak/>
        <w:t>100 proc. nuo maksimalios duomenų parsisiuntimo spartos ir iki 75 proc. nuo maksimalios duomenų išsiuntimo spartos, todėl atitinkančias mokėjimo plano „LTE 20“ sąlygas.</w:t>
      </w:r>
    </w:p>
    <w:p w:rsidR="00031D65" w:rsidRPr="00045F71" w:rsidRDefault="00031D65" w:rsidP="00031D65">
      <w:pPr>
        <w:pStyle w:val="Header"/>
        <w:tabs>
          <w:tab w:val="right" w:pos="0"/>
          <w:tab w:val="left" w:pos="720"/>
        </w:tabs>
        <w:jc w:val="both"/>
        <w:rPr>
          <w:bCs/>
          <w:szCs w:val="24"/>
        </w:rPr>
      </w:pPr>
      <w:r w:rsidRPr="00045F71">
        <w:rPr>
          <w:bCs/>
          <w:szCs w:val="24"/>
        </w:rPr>
        <w:tab/>
        <w:t xml:space="preserve">Vartotojas, be kita ko, nurodo esantis nepatenkintas gedimų šalinimo tvarka ir, jo nuomone, Teikėjo darbuotojai turėtų gedimus šalinti visą parą. Pagal ERPT taisyklių 20 punktą </w:t>
      </w:r>
      <w:r w:rsidRPr="00045F71">
        <w:rPr>
          <w:bCs/>
          <w:i/>
          <w:szCs w:val="24"/>
        </w:rPr>
        <w:t>„Teikėjas atsako už teikiamų Paslaugų kokybę ir gedimus šalina iki Sutartyje nurodyto tinklo galinio taško</w:t>
      </w:r>
      <w:r w:rsidRPr="00045F71">
        <w:rPr>
          <w:bCs/>
          <w:szCs w:val="24"/>
        </w:rPr>
        <w:t xml:space="preserve">.“ </w:t>
      </w:r>
      <w:bookmarkStart w:id="0" w:name="n_13"/>
      <w:r w:rsidRPr="00045F71">
        <w:rPr>
          <w:szCs w:val="24"/>
        </w:rPr>
        <w:t>CK 6.154 straipsnio</w:t>
      </w:r>
      <w:bookmarkEnd w:id="0"/>
      <w:r w:rsidRPr="00045F71">
        <w:rPr>
          <w:szCs w:val="24"/>
        </w:rPr>
        <w:t xml:space="preserve"> 1 dalyje nustatyta, kad sutartis yra dviejų ar daugiau asmenų susitarimas sukurti, pakeisti ar nutraukti civilinius teisinius santykius, kai vienas ar keli asmenys įsipareigoja kitam asmeniui ar asmenims atlikti tam tikrus veiksmus (ar susilaikyti nuo kitų veiksmų atlikimo), o pastarieji įgyja reikalavimo teisę. Pagal CK 6.189 straipsnio 1 dalį teisėtai sudaryta ir galiojanti sutartis jos šalims turi įstatymo galią, todėl paslaugų teikimo sutartyje nustatyti įsipareigojimai yra privalomi tiek paslaugų gavėjui, tiek paslaugų teikėjui. </w:t>
      </w:r>
      <w:r w:rsidRPr="00045F71">
        <w:rPr>
          <w:bCs/>
          <w:szCs w:val="24"/>
        </w:rPr>
        <w:t>Sutarties specialiųjų sąlygų 3 punkte yra nustatyta, kad „</w:t>
      </w:r>
      <w:r w:rsidRPr="00045F71">
        <w:rPr>
          <w:bCs/>
          <w:i/>
          <w:szCs w:val="24"/>
        </w:rPr>
        <w:t>Paslaugų gedimų šalinimo trukmė yra ne ilgesnė nei 24 darbo val. Gedimai registruojami kiekvieną darbo dieną telefono numeriu +370 5 2161616 nuo 8 iki 20 val., poilsio ir švenčių dienomis 10.00-16.00 val. arba elektroniniu paštu info@mezon.lt</w:t>
      </w:r>
      <w:r w:rsidRPr="00045F71">
        <w:rPr>
          <w:bCs/>
          <w:szCs w:val="24"/>
        </w:rPr>
        <w:t xml:space="preserve">“. </w:t>
      </w:r>
      <w:r w:rsidRPr="00045F71">
        <w:rPr>
          <w:szCs w:val="24"/>
        </w:rPr>
        <w:t xml:space="preserve">Su tokiomis sutarties sąlygomis Vartotojas, pasirašydamas sutartį, sutiko, todėl nėra pagrindo įpareigoti Teikėją užtikrinti techninių darbuotojų prieinamumą klientams visą parą. </w:t>
      </w:r>
    </w:p>
    <w:p w:rsidR="00031D65" w:rsidRPr="00045F71" w:rsidRDefault="00031D65" w:rsidP="00031D65">
      <w:pPr>
        <w:pStyle w:val="Header"/>
        <w:tabs>
          <w:tab w:val="right" w:pos="0"/>
          <w:tab w:val="left" w:pos="720"/>
        </w:tabs>
        <w:jc w:val="both"/>
        <w:rPr>
          <w:bCs/>
          <w:szCs w:val="24"/>
        </w:rPr>
      </w:pPr>
      <w:r w:rsidRPr="00045F71">
        <w:rPr>
          <w:bCs/>
          <w:szCs w:val="24"/>
        </w:rPr>
        <w:tab/>
        <w:t xml:space="preserve">Taigi, darytina išvada, jog nėra pagrindo konstatuoti, jog Teikėjas neužtikrino prisiimtų pareigų vykdymo pagal sutartį, kas suponuotų ERPT taisyklių 12 punkto taikymą ir būtų pagrindas pripažinti, kad Teikėjas pažeidė sutartį iš esmės. </w:t>
      </w:r>
    </w:p>
    <w:p w:rsidR="00031D65" w:rsidRPr="00045F71" w:rsidRDefault="00031D65" w:rsidP="00031D65">
      <w:pPr>
        <w:pStyle w:val="Header"/>
        <w:tabs>
          <w:tab w:val="clear" w:pos="4320"/>
          <w:tab w:val="clear" w:pos="8640"/>
        </w:tabs>
        <w:ind w:firstLine="720"/>
        <w:jc w:val="both"/>
        <w:rPr>
          <w:color w:val="000000"/>
          <w:szCs w:val="24"/>
        </w:rPr>
      </w:pPr>
      <w:r w:rsidRPr="00045F71">
        <w:rPr>
          <w:szCs w:val="24"/>
        </w:rPr>
        <w:t>Tačiau atkreiptinas dėmesys į tai, kad bendroji taisyklė dėl netesybų yra ta, kad šalių susitarimas dėl netesybų yra galiojantis ir vykdytinas, tačiau jeigu netesybos yra akivaizdžiai per didelės, neproporcingos, jų dydis prieštarauja protingumo, sąžiningumo principams, sąžiningai verslo praktikai ir suteikia galimybę nepagrįstai praturtėti vienai šaliai bei pažeidžia teisėtus kitos šalies interesus, jos gali būti sumažintos iki protingos sumos</w:t>
      </w:r>
      <w:r w:rsidRPr="00045F71">
        <w:rPr>
          <w:rStyle w:val="FootnoteReference"/>
          <w:szCs w:val="24"/>
        </w:rPr>
        <w:footnoteReference w:id="5"/>
      </w:r>
      <w:r w:rsidRPr="00045F71">
        <w:rPr>
          <w:szCs w:val="24"/>
        </w:rPr>
        <w:t xml:space="preserve">. </w:t>
      </w:r>
      <w:r w:rsidRPr="00045F71">
        <w:rPr>
          <w:color w:val="000000"/>
          <w:szCs w:val="24"/>
        </w:rPr>
        <w:t>Netesybos yra laikytinos iš anksto nustatytais būsimais nuostoliais, kurie gali būti pripažinti minimaliais nuostoliais ir kurių dydžio nereikia įrodinėti</w:t>
      </w:r>
      <w:r w:rsidRPr="00045F71">
        <w:rPr>
          <w:rStyle w:val="FootnoteReference"/>
          <w:szCs w:val="24"/>
        </w:rPr>
        <w:footnoteReference w:id="6"/>
      </w:r>
      <w:r w:rsidRPr="00045F71">
        <w:rPr>
          <w:color w:val="000000"/>
          <w:szCs w:val="24"/>
        </w:rPr>
        <w:t>. Sutartimi nustatytos netesybos yra skirtos nuostoliams atlyginti, jos yra ne tik prievolės įvykdymo užtikrinimo priemonė, bet ir civilinės atsakomybės forma. Pagrindinis civilinės atsakomybės principas – nuostolių atlyginimas visada turi išlikti kompensuojamojo, o ne baudinio pobūdžio</w:t>
      </w:r>
      <w:r w:rsidRPr="00045F71">
        <w:rPr>
          <w:rStyle w:val="FootnoteReference"/>
          <w:szCs w:val="24"/>
        </w:rPr>
        <w:footnoteReference w:id="7"/>
      </w:r>
      <w:r w:rsidRPr="00045F71">
        <w:rPr>
          <w:color w:val="000000"/>
          <w:szCs w:val="24"/>
        </w:rPr>
        <w:t xml:space="preserve">. </w:t>
      </w:r>
      <w:r w:rsidRPr="00045F71">
        <w:rPr>
          <w:szCs w:val="24"/>
        </w:rPr>
        <w:t>Kreditorius turėtų įrodinėti tikėtinus nuostolius, tačiau tik tam, kad pagrįstų protingą netesybų dydį. Koks netesybų dydis yra tinkamas konkrečiu atveju, yra fakto klausimas, kurį byloje turi įrodyti šalys</w:t>
      </w:r>
      <w:r w:rsidRPr="00045F71">
        <w:rPr>
          <w:rStyle w:val="FootnoteReference"/>
          <w:szCs w:val="24"/>
        </w:rPr>
        <w:footnoteReference w:id="8"/>
      </w:r>
      <w:r w:rsidRPr="00045F71">
        <w:rPr>
          <w:szCs w:val="24"/>
        </w:rPr>
        <w:t>.</w:t>
      </w:r>
    </w:p>
    <w:p w:rsidR="00031D65" w:rsidRPr="00045F71" w:rsidRDefault="00031D65" w:rsidP="00031D65">
      <w:pPr>
        <w:pStyle w:val="Header"/>
        <w:tabs>
          <w:tab w:val="right" w:pos="0"/>
          <w:tab w:val="left" w:pos="720"/>
        </w:tabs>
        <w:jc w:val="both"/>
        <w:rPr>
          <w:color w:val="000000"/>
          <w:szCs w:val="24"/>
          <w:lang w:eastAsia="lt-LT"/>
        </w:rPr>
      </w:pPr>
      <w:r w:rsidRPr="00045F71">
        <w:rPr>
          <w:b/>
          <w:szCs w:val="24"/>
        </w:rPr>
        <w:tab/>
      </w:r>
      <w:r w:rsidRPr="00045F71">
        <w:rPr>
          <w:szCs w:val="24"/>
        </w:rPr>
        <w:t>Pažymėtina, kad CK 6.73 straipsnio 2 dalyje nustatyta, kad „</w:t>
      </w:r>
      <w:r w:rsidRPr="00045F71">
        <w:rPr>
          <w:i/>
          <w:color w:val="000000"/>
          <w:szCs w:val="24"/>
        </w:rPr>
        <w:t>Jeigu netesybos aiškiai per didelės arba prievolė iš dalies įvykdyta, teismas gali netesybas sumažinti, tačiau tik tiek, kad jos netaptų mažesnės už nuostolius, patirtus dėl prievolės neįvykdymo ar netinkamo įvykdymo. Netesybos nemažinamos, kai jos jau sumokėtos.</w:t>
      </w:r>
      <w:r w:rsidRPr="00045F71">
        <w:rPr>
          <w:color w:val="000000"/>
          <w:szCs w:val="24"/>
        </w:rPr>
        <w:t>“ Kaip konstatavo LAT 2016 m. balandžio 25 d. nutartyje, priimtoje civilinėje byloje Nr. 3K-3-234-248/2016, „</w:t>
      </w:r>
      <w:r w:rsidRPr="00045F71">
        <w:rPr>
          <w:i/>
          <w:color w:val="000000"/>
          <w:szCs w:val="24"/>
          <w:lang w:eastAsia="lt-LT"/>
        </w:rPr>
        <w:t>Aiškiai per didelėmis netesybos pripažįstamos tada, kai jos neproporcingos, jų dydis prieštarauja protingumo, sąžiningumo principams, sąžiningai verslo praktikai ir suteikia galimybę nepagrįstai praturtėti vienai šaliai bei pažeidžia teisėtus kitos šalies interesus. Nustatydamas, ar netesybos nėra akivaizdžiai per didelės, ir jas mažindamas teismas taiko esminį kriterijų – netesybų santykį su nuostoliais, nes tik įvertinęs skirtumą tarp nuostolių ir prašomų netesybų teismas gali nuspręsti, ar netesybų suma nėra pernelyg didelė ir nepagrįsta.</w:t>
      </w:r>
      <w:r w:rsidRPr="00045F71">
        <w:rPr>
          <w:color w:val="000000"/>
          <w:szCs w:val="24"/>
          <w:lang w:eastAsia="lt-LT"/>
        </w:rPr>
        <w:t>“</w:t>
      </w:r>
    </w:p>
    <w:p w:rsidR="00031D65" w:rsidRPr="00045F71" w:rsidRDefault="00031D65" w:rsidP="00031D65">
      <w:pPr>
        <w:pStyle w:val="Header"/>
        <w:tabs>
          <w:tab w:val="right" w:pos="0"/>
          <w:tab w:val="left" w:pos="720"/>
        </w:tabs>
        <w:jc w:val="both"/>
        <w:rPr>
          <w:color w:val="000000"/>
          <w:szCs w:val="24"/>
        </w:rPr>
      </w:pPr>
      <w:r w:rsidRPr="00045F71">
        <w:rPr>
          <w:color w:val="000000"/>
          <w:szCs w:val="24"/>
          <w:lang w:eastAsia="lt-LT"/>
        </w:rPr>
        <w:tab/>
      </w:r>
      <w:r w:rsidRPr="00045F71">
        <w:rPr>
          <w:color w:val="000000"/>
          <w:szCs w:val="24"/>
        </w:rPr>
        <w:t xml:space="preserve">Vartotojo, dalyvaujančio vartojimo sutartiniuose santykiuose, derybinės galios yra apribotos, neretai šis asmuo nepasirengęs deryboms arba nesugeba derėtis. Vartojimo sutartys dažniausiai sudaromos prisijungimo būdu, naudojant standartines sutarčių sąlygas, kurios nėra individualiai aptariamos, todėl vartotojas yra priverstas priimti jam primetamas stipraus kontrahento siūlomas sutarties sąlygas arba apskritai atsisakyti sutarties. Nurodytos aplinkybės lemia, kad sutartiniuose santykiuose su vartotojais negali būti remiamasi vien sutarčių laisvės principu – būtinos teisės </w:t>
      </w:r>
      <w:r w:rsidRPr="00045F71">
        <w:rPr>
          <w:color w:val="000000"/>
          <w:szCs w:val="24"/>
        </w:rPr>
        <w:lastRenderedPageBreak/>
        <w:t xml:space="preserve">normos, saugančios silpnesniąją šalį ir įpareigojančios pardavėją ar paslaugų teikėją atsižvelgti į vartotojo interesus. </w:t>
      </w:r>
    </w:p>
    <w:p w:rsidR="00031D65" w:rsidRPr="00045F71" w:rsidRDefault="00031D65" w:rsidP="00031D65">
      <w:pPr>
        <w:pStyle w:val="Header"/>
        <w:tabs>
          <w:tab w:val="right" w:pos="0"/>
          <w:tab w:val="left" w:pos="720"/>
        </w:tabs>
        <w:jc w:val="both"/>
        <w:rPr>
          <w:color w:val="000000"/>
          <w:szCs w:val="24"/>
          <w:lang w:eastAsia="lt-LT"/>
        </w:rPr>
      </w:pPr>
      <w:r w:rsidRPr="00045F71">
        <w:rPr>
          <w:color w:val="000000"/>
          <w:szCs w:val="24"/>
        </w:rPr>
        <w:tab/>
      </w:r>
      <w:r w:rsidRPr="00045F71">
        <w:rPr>
          <w:color w:val="000000"/>
          <w:szCs w:val="24"/>
          <w:lang w:eastAsia="lt-LT"/>
        </w:rPr>
        <w:t xml:space="preserve">Tarnyba vertina, kad, nors standartinėse sąlygose, kurioms įtakos Vartotojas neturėjo galimybės daryti, yra nurodyta netesybų skaičiavimo tvarka, ir nors Teikėjas savo teisei į nuostolių atlyginimą įgyvendinti taiko kitokį kompensacijos skaičiavimo būdą, nei nurodytas Bendrųjų sąlygų 11.4 papunktyje, kuris neviršija šiame papunktyje nurodytų netesybų, tačiau kyla grėsmė Teikėjui praturtėti Vartotojo sąskaita. Su Vartotoju sudaryta sutartis galiojo nuo 2016 m. rugsėjo 15 d. iki 2016 m. lapkričio 10 d., t. y. 1 mėn. 25 d. Taigi, tuo atveju, jei Vartotojas nebūtų įsipareigojęs naudotis paslaugomis minimalų 24 mėn. laikotarpį, mėnesinis mokestis be nuolaidos būtų 15,90 Eur, todėl Tarnyba pripažįsta, kad pagrįsta, sąžininga ir teisinga būtų reikalauti iš Vartotojo nuolaidų mėnesiniam mokesčiui grąžinimo už faktiškai pasinaudotas paslaugas, t. y. proporcingai iki 2016 m. lapkričio 10 d. suteiktas 2,00 Eur/mėn. nuolaidas, iš viso 3,67 Eur suteiktų nuolaidų mėnesiniam mokesčiui už paslaugas. </w:t>
      </w:r>
    </w:p>
    <w:p w:rsidR="00031D65" w:rsidRPr="00045F71" w:rsidRDefault="00031D65" w:rsidP="00031D65">
      <w:pPr>
        <w:pStyle w:val="Style8"/>
        <w:widowControl/>
        <w:tabs>
          <w:tab w:val="left" w:pos="605"/>
        </w:tabs>
        <w:spacing w:line="240" w:lineRule="auto"/>
        <w:jc w:val="both"/>
        <w:rPr>
          <w:rStyle w:val="FontStyle17"/>
          <w:rFonts w:ascii="Times New Roman" w:hAnsi="Times New Roman" w:cs="Times New Roman"/>
          <w:sz w:val="24"/>
          <w:szCs w:val="24"/>
        </w:rPr>
      </w:pPr>
      <w:r w:rsidRPr="00045F71">
        <w:rPr>
          <w:rFonts w:ascii="Times New Roman" w:hAnsi="Times New Roman" w:cs="Times New Roman"/>
          <w:color w:val="000000"/>
        </w:rPr>
        <w:t xml:space="preserve">Iš sutarties specialiųjų sąlygų 2 punkto ir Teikėjo pateiktų sąskaitų matyti, kad už sutartimi įsigytą įrangą Vartotojas sumokėjo 0,10 Eur, o už SIM kortelę 1,00 Eur, nors įrangos vertė yra 93,60 Eur. Pažymėtina, kad Bendrųjų sąlygų 8.3 papunktis numato kliento pareigą sumokėti visą likusią (nesumokėtą) įrangos kainą, kai sutartis yra nutraukiama. Sistemiškai aiškinant šią nuostatą su Bendrųjų sąlygų 11.4 papunkčiu, proporcinga Teikėjui iš Vartotojo reikalauti įrangai suteiktą nuolaidą </w:t>
      </w:r>
      <w:r w:rsidRPr="00045F71">
        <w:rPr>
          <w:rStyle w:val="FontStyle17"/>
          <w:rFonts w:ascii="Times New Roman" w:hAnsi="Times New Roman" w:cs="Times New Roman"/>
          <w:sz w:val="24"/>
          <w:szCs w:val="24"/>
        </w:rPr>
        <w:t xml:space="preserve">proporcingai likusiam sutarties minimaliam naudojimosi paslaugomis terminui, t. y. 93,50 Eur/24*22 + 93,50 Eur/24/30*5 = 86,36 Eur. </w:t>
      </w:r>
    </w:p>
    <w:p w:rsidR="00031D65" w:rsidRPr="00045F71" w:rsidRDefault="00031D65" w:rsidP="00031D65">
      <w:pPr>
        <w:pStyle w:val="Style8"/>
        <w:widowControl/>
        <w:tabs>
          <w:tab w:val="left" w:pos="605"/>
        </w:tabs>
        <w:spacing w:line="240" w:lineRule="auto"/>
        <w:jc w:val="both"/>
        <w:rPr>
          <w:rFonts w:ascii="Times New Roman" w:hAnsi="Times New Roman" w:cs="Times New Roman"/>
        </w:rPr>
      </w:pPr>
      <w:r w:rsidRPr="00045F71">
        <w:rPr>
          <w:rStyle w:val="FontStyle17"/>
          <w:rFonts w:ascii="Times New Roman" w:hAnsi="Times New Roman" w:cs="Times New Roman"/>
          <w:sz w:val="24"/>
          <w:szCs w:val="24"/>
        </w:rPr>
        <w:t xml:space="preserve">Vartotojas prašyme, be kita ko, reikalauja įpareigoti Teikėją grąžinti įrangą. </w:t>
      </w:r>
      <w:r w:rsidRPr="00045F71">
        <w:rPr>
          <w:rFonts w:ascii="Times New Roman" w:hAnsi="Times New Roman" w:cs="Times New Roman"/>
        </w:rPr>
        <w:t>CK 6.362 straipsnio 4 dalis numato, kad daiktų keitimo ir grąžinimo tvarka bei negrąžinamų daiktų sąrašas yra numatytas Mažmeninės prekybos taisyklėse, patvirtintose Lietuvos Respublikos Vyriausybės 2001 m. birželio 11 d. nutarimu N</w:t>
      </w:r>
      <w:bookmarkStart w:id="1" w:name="_GoBack"/>
      <w:bookmarkEnd w:id="1"/>
      <w:r w:rsidRPr="00045F71">
        <w:rPr>
          <w:rFonts w:ascii="Times New Roman" w:hAnsi="Times New Roman" w:cs="Times New Roman"/>
        </w:rPr>
        <w:t xml:space="preserve">r. 697 „Dėl Mažmeninės prekybos taisyklių patvirtinimo“, (toliau – Mažmeninės prekybos taisyklės). </w:t>
      </w:r>
      <w:r w:rsidRPr="00045F71">
        <w:rPr>
          <w:rStyle w:val="FontStyle17"/>
          <w:rFonts w:ascii="Times New Roman" w:hAnsi="Times New Roman" w:cs="Times New Roman"/>
          <w:sz w:val="24"/>
          <w:szCs w:val="24"/>
        </w:rPr>
        <w:t xml:space="preserve">Tarnyba atkreipia dėmesį, kad vadovaujantis </w:t>
      </w:r>
      <w:r w:rsidRPr="00045F71">
        <w:rPr>
          <w:rFonts w:ascii="Times New Roman" w:hAnsi="Times New Roman" w:cs="Times New Roman"/>
        </w:rPr>
        <w:t>Mažmeninės prekybos taisyklių 17.14 papunkčiu, Vartotojo pagal sutartį įsigyta</w:t>
      </w:r>
      <w:r w:rsidRPr="00045F71">
        <w:rPr>
          <w:rFonts w:ascii="Times New Roman" w:hAnsi="Times New Roman" w:cs="Times New Roman"/>
          <w:b/>
        </w:rPr>
        <w:t xml:space="preserve"> </w:t>
      </w:r>
      <w:r w:rsidRPr="00045F71">
        <w:rPr>
          <w:rFonts w:ascii="Times New Roman" w:hAnsi="Times New Roman" w:cs="Times New Roman"/>
        </w:rPr>
        <w:t>įranga gali būti grąžinama tik tuo atveju, jeigu ji nekokybiška arba Teikėjas sutinka geranoriškai ją priimti. Kadangi Vartotojas dėl įrangos kokybės pastabų nereiškia, nėra teisinio pagrindo įpareigoti Teikėją priimti norimą grąžinti įrangą.</w:t>
      </w:r>
    </w:p>
    <w:p w:rsidR="00031D65" w:rsidRPr="00045F71" w:rsidRDefault="00031D65" w:rsidP="00031D65">
      <w:pPr>
        <w:pStyle w:val="Header"/>
        <w:tabs>
          <w:tab w:val="right" w:pos="0"/>
          <w:tab w:val="left" w:pos="720"/>
        </w:tabs>
        <w:jc w:val="both"/>
        <w:rPr>
          <w:szCs w:val="24"/>
        </w:rPr>
      </w:pPr>
      <w:r w:rsidRPr="00045F71">
        <w:rPr>
          <w:bCs/>
          <w:szCs w:val="24"/>
        </w:rPr>
        <w:tab/>
      </w:r>
      <w:r w:rsidRPr="00045F71">
        <w:rPr>
          <w:bCs/>
          <w:szCs w:val="24"/>
        </w:rPr>
        <w:tab/>
        <w:t>Atsižvelgdama į tai, kas išdėstyta, Tarnyba nenustatė pagrindo taikyti ERPT taisyklių 12 punktą ir pripažinti Vartotojo teisę nutraukti sutartį be netesybų, tačiau priskaičiuota ir Teikėjo vartotojui pritaikyta 129,18 Eur kompensacijos suma, įvertinus suteiktas nuolaidas mėnesiniam mokesčiui sutarties galiojimo laikotarpiu ir įrangos vertei, mažintina iki 90,03 Eur.</w:t>
      </w:r>
    </w:p>
    <w:p w:rsidR="00031D65" w:rsidRPr="00045F71" w:rsidRDefault="00031D65" w:rsidP="00031D65">
      <w:pPr>
        <w:spacing w:after="0" w:line="240" w:lineRule="auto"/>
        <w:ind w:firstLine="720"/>
        <w:jc w:val="both"/>
        <w:rPr>
          <w:rFonts w:ascii="Times New Roman" w:eastAsia="Times New Roman" w:hAnsi="Times New Roman" w:cs="Times New Roman"/>
          <w:sz w:val="24"/>
          <w:szCs w:val="24"/>
        </w:rPr>
      </w:pPr>
      <w:r w:rsidRPr="00045F71">
        <w:rPr>
          <w:rFonts w:ascii="Times New Roman" w:eastAsia="Times New Roman" w:hAnsi="Times New Roman" w:cs="Times New Roman"/>
          <w:sz w:val="24"/>
          <w:szCs w:val="24"/>
        </w:rPr>
        <w:t xml:space="preserve">3. </w:t>
      </w:r>
      <w:r w:rsidRPr="00045F71">
        <w:rPr>
          <w:rFonts w:ascii="Times New Roman" w:eastAsia="Times New Roman" w:hAnsi="Times New Roman" w:cs="Times New Roman"/>
          <w:spacing w:val="60"/>
          <w:sz w:val="24"/>
          <w:szCs w:val="24"/>
        </w:rPr>
        <w:t>Tenkin</w:t>
      </w:r>
      <w:r w:rsidRPr="00045F71">
        <w:rPr>
          <w:rFonts w:ascii="Times New Roman" w:eastAsia="Times New Roman" w:hAnsi="Times New Roman" w:cs="Times New Roman"/>
          <w:sz w:val="24"/>
          <w:szCs w:val="24"/>
        </w:rPr>
        <w:t xml:space="preserve">u  </w:t>
      </w:r>
      <w:r w:rsidRPr="00045F71">
        <w:rPr>
          <w:rFonts w:ascii="Times New Roman" w:eastAsia="Times New Roman" w:hAnsi="Times New Roman" w:cs="Times New Roman"/>
          <w:spacing w:val="58"/>
          <w:sz w:val="24"/>
          <w:szCs w:val="24"/>
        </w:rPr>
        <w:t>iš dalies</w:t>
      </w:r>
      <w:r w:rsidRPr="00045F71">
        <w:rPr>
          <w:rFonts w:ascii="Times New Roman" w:eastAsia="Times New Roman" w:hAnsi="Times New Roman" w:cs="Times New Roman"/>
          <w:sz w:val="24"/>
          <w:szCs w:val="24"/>
        </w:rPr>
        <w:t xml:space="preserve"> vartotojo A</w:t>
      </w:r>
      <w:r w:rsidR="00B60273">
        <w:rPr>
          <w:rFonts w:ascii="Times New Roman" w:eastAsia="Times New Roman" w:hAnsi="Times New Roman" w:cs="Times New Roman"/>
          <w:sz w:val="24"/>
          <w:szCs w:val="24"/>
        </w:rPr>
        <w:t>.</w:t>
      </w:r>
      <w:r w:rsidRPr="00045F71">
        <w:rPr>
          <w:rFonts w:ascii="Times New Roman" w:eastAsia="Times New Roman" w:hAnsi="Times New Roman" w:cs="Times New Roman"/>
          <w:sz w:val="24"/>
          <w:szCs w:val="24"/>
        </w:rPr>
        <w:t xml:space="preserve"> K</w:t>
      </w:r>
      <w:r w:rsidR="00B60273">
        <w:rPr>
          <w:rFonts w:ascii="Times New Roman" w:eastAsia="Times New Roman" w:hAnsi="Times New Roman" w:cs="Times New Roman"/>
          <w:sz w:val="24"/>
          <w:szCs w:val="24"/>
        </w:rPr>
        <w:t>.</w:t>
      </w:r>
      <w:r w:rsidRPr="00045F71">
        <w:rPr>
          <w:rFonts w:ascii="Times New Roman" w:eastAsia="Times New Roman" w:hAnsi="Times New Roman" w:cs="Times New Roman"/>
          <w:sz w:val="24"/>
          <w:szCs w:val="24"/>
        </w:rPr>
        <w:t xml:space="preserve"> 2016 m. lapkričio 14 d. prašymą nagrinėti ginčą ir </w:t>
      </w:r>
      <w:r w:rsidRPr="00045F71">
        <w:rPr>
          <w:rFonts w:ascii="Times New Roman" w:eastAsia="Times New Roman" w:hAnsi="Times New Roman" w:cs="Times New Roman"/>
          <w:spacing w:val="60"/>
          <w:sz w:val="24"/>
          <w:szCs w:val="24"/>
        </w:rPr>
        <w:t>įpareigoju</w:t>
      </w:r>
      <w:r w:rsidRPr="00045F71">
        <w:rPr>
          <w:rFonts w:ascii="Times New Roman" w:eastAsia="Times New Roman" w:hAnsi="Times New Roman" w:cs="Times New Roman"/>
          <w:sz w:val="24"/>
          <w:szCs w:val="24"/>
        </w:rPr>
        <w:t xml:space="preserve"> AB Lietuvos radijo ir televizijos centrą dėl anksčiau nei baigiasi minimalus naudojimosi paslaugomis terminas </w:t>
      </w:r>
      <w:r w:rsidRPr="00045F71">
        <w:rPr>
          <w:rFonts w:ascii="Times New Roman" w:hAnsi="Times New Roman" w:cs="Times New Roman"/>
          <w:sz w:val="24"/>
          <w:szCs w:val="24"/>
        </w:rPr>
        <w:t xml:space="preserve">Elektroninių ryšių paslaugų teikimo sutarties </w:t>
      </w:r>
      <w:r w:rsidR="00B60273">
        <w:rPr>
          <w:rFonts w:ascii="Times New Roman" w:hAnsi="Times New Roman" w:cs="Times New Roman"/>
          <w:sz w:val="24"/>
          <w:szCs w:val="24"/>
        </w:rPr>
        <w:t>(duomenys neskelbtini)</w:t>
      </w:r>
      <w:r w:rsidRPr="00045F71">
        <w:rPr>
          <w:rFonts w:ascii="Times New Roman" w:eastAsia="Times New Roman" w:hAnsi="Times New Roman" w:cs="Times New Roman"/>
          <w:sz w:val="24"/>
          <w:szCs w:val="24"/>
        </w:rPr>
        <w:t xml:space="preserve"> nutraukimo sumažinti priskaičiuotą 129,18 Eur kompensacijos sumą iki 90,03 Eur.</w:t>
      </w:r>
    </w:p>
    <w:p w:rsidR="00031D65" w:rsidRPr="00045F71" w:rsidRDefault="00031D65" w:rsidP="00031D65">
      <w:pPr>
        <w:tabs>
          <w:tab w:val="left" w:pos="720"/>
        </w:tabs>
        <w:spacing w:after="0" w:line="240" w:lineRule="auto"/>
        <w:jc w:val="both"/>
        <w:rPr>
          <w:rFonts w:ascii="Times New Roman" w:eastAsia="Times New Roman" w:hAnsi="Times New Roman" w:cs="Times New Roman"/>
          <w:bCs/>
          <w:sz w:val="24"/>
          <w:szCs w:val="24"/>
          <w:lang w:eastAsia="lt-LT"/>
        </w:rPr>
      </w:pPr>
      <w:r w:rsidRPr="00045F71">
        <w:rPr>
          <w:rFonts w:ascii="Times New Roman" w:eastAsia="Times New Roman" w:hAnsi="Times New Roman" w:cs="Times New Roman"/>
          <w:sz w:val="24"/>
          <w:szCs w:val="24"/>
        </w:rPr>
        <w:tab/>
        <w:t>4</w:t>
      </w:r>
      <w:r w:rsidRPr="00045F71">
        <w:rPr>
          <w:rFonts w:ascii="Times New Roman" w:eastAsia="Times New Roman" w:hAnsi="Times New Roman" w:cs="Times New Roman"/>
          <w:spacing w:val="80"/>
          <w:sz w:val="24"/>
          <w:szCs w:val="24"/>
        </w:rPr>
        <w:t>.Išaiškin</w:t>
      </w:r>
      <w:r w:rsidRPr="00045F71">
        <w:rPr>
          <w:rFonts w:ascii="Times New Roman" w:eastAsia="Times New Roman" w:hAnsi="Times New Roman" w:cs="Times New Roman"/>
          <w:sz w:val="24"/>
          <w:szCs w:val="24"/>
        </w:rPr>
        <w:t>u, kad:</w:t>
      </w:r>
    </w:p>
    <w:p w:rsidR="00031D65" w:rsidRPr="00045F71" w:rsidRDefault="00031D65" w:rsidP="00031D65">
      <w:pPr>
        <w:tabs>
          <w:tab w:val="left" w:pos="720"/>
        </w:tabs>
        <w:autoSpaceDE w:val="0"/>
        <w:adjustRightInd w:val="0"/>
        <w:spacing w:after="0" w:line="240" w:lineRule="auto"/>
        <w:ind w:firstLine="709"/>
        <w:jc w:val="both"/>
        <w:textAlignment w:val="center"/>
        <w:rPr>
          <w:rFonts w:ascii="Times New Roman" w:eastAsia="Times New Roman" w:hAnsi="Times New Roman" w:cs="Times New Roman"/>
          <w:sz w:val="24"/>
          <w:szCs w:val="24"/>
        </w:rPr>
      </w:pPr>
      <w:r w:rsidRPr="00045F71">
        <w:rPr>
          <w:rFonts w:ascii="Times New Roman" w:eastAsia="Times New Roman" w:hAnsi="Times New Roman" w:cs="Times New Roman"/>
          <w:sz w:val="24"/>
          <w:szCs w:val="24"/>
        </w:rPr>
        <w:t xml:space="preserve">4.1. ginčo šalys per 30 dienų nuo Tarnybos sprendimo priėmimo dienos turi teisę kreiptis tiesiogiai į bendrosios kompetencijos teismą ir prašyti nagrinėti jų ginčą iš esmės. </w:t>
      </w:r>
      <w:r w:rsidRPr="00045F71">
        <w:rPr>
          <w:rFonts w:ascii="Times New Roman" w:eastAsia="Times New Roman" w:hAnsi="Times New Roman" w:cs="Times New Roman"/>
          <w:sz w:val="24"/>
          <w:szCs w:val="24"/>
          <w:shd w:val="clear" w:color="auto" w:fill="FFFFFF"/>
        </w:rPr>
        <w:t>Kreipimasis į bendrosios kompetencijos teismą po Tarnybos sprendimo dėl ginčo esmės priėmimo nelaikomas Tarnybos sprendimo apskundimu</w:t>
      </w:r>
      <w:r w:rsidRPr="00045F71">
        <w:rPr>
          <w:rFonts w:ascii="Times New Roman" w:eastAsia="Times New Roman" w:hAnsi="Times New Roman" w:cs="Times New Roman"/>
          <w:sz w:val="24"/>
          <w:szCs w:val="24"/>
        </w:rPr>
        <w:t>;</w:t>
      </w:r>
    </w:p>
    <w:p w:rsidR="00031D65" w:rsidRPr="00045F71" w:rsidRDefault="00031D65" w:rsidP="00031D65">
      <w:pPr>
        <w:tabs>
          <w:tab w:val="left" w:pos="720"/>
          <w:tab w:val="left" w:pos="1134"/>
        </w:tabs>
        <w:autoSpaceDE w:val="0"/>
        <w:adjustRightInd w:val="0"/>
        <w:spacing w:after="0" w:line="240" w:lineRule="auto"/>
        <w:jc w:val="both"/>
        <w:textAlignment w:val="center"/>
        <w:rPr>
          <w:rFonts w:ascii="Times New Roman" w:eastAsia="Times New Roman" w:hAnsi="Times New Roman" w:cs="Times New Roman"/>
          <w:sz w:val="24"/>
          <w:szCs w:val="24"/>
        </w:rPr>
      </w:pPr>
      <w:r w:rsidRPr="00045F71">
        <w:rPr>
          <w:rFonts w:ascii="Times New Roman" w:eastAsia="Times New Roman" w:hAnsi="Times New Roman" w:cs="Times New Roman"/>
          <w:sz w:val="24"/>
          <w:szCs w:val="24"/>
        </w:rPr>
        <w:tab/>
        <w:t xml:space="preserve">4.2. Tarnybos sprendimas įsiteisėja ir yra privalomas vykdyti pasibaigus terminui, nustatytam šio įsakymo 4.1 papunktyje. Jeigu šis sprendimas neįvykdomas, jis gali būti priverstinai vykdomas Lietuvos Respublikos civilinio proceso kodekso nustatyta tvarka. </w:t>
      </w:r>
    </w:p>
    <w:p w:rsidR="00031D65" w:rsidRPr="00045F71" w:rsidRDefault="00031D65" w:rsidP="00031D65">
      <w:pPr>
        <w:spacing w:after="0" w:line="240" w:lineRule="auto"/>
        <w:ind w:firstLine="720"/>
        <w:jc w:val="both"/>
        <w:rPr>
          <w:rFonts w:ascii="Times New Roman" w:eastAsia="Times New Roman" w:hAnsi="Times New Roman" w:cs="Times New Roman"/>
          <w:sz w:val="24"/>
          <w:szCs w:val="24"/>
        </w:rPr>
      </w:pPr>
      <w:r w:rsidRPr="00045F71">
        <w:rPr>
          <w:rFonts w:ascii="Times New Roman" w:eastAsia="Times New Roman" w:hAnsi="Times New Roman" w:cs="Times New Roman"/>
          <w:sz w:val="24"/>
          <w:szCs w:val="24"/>
        </w:rPr>
        <w:t xml:space="preserve">5. </w:t>
      </w:r>
      <w:r w:rsidRPr="00045F71">
        <w:rPr>
          <w:rFonts w:ascii="Times New Roman" w:eastAsia="Times New Roman" w:hAnsi="Times New Roman" w:cs="Times New Roman"/>
          <w:spacing w:val="80"/>
          <w:sz w:val="24"/>
          <w:szCs w:val="24"/>
        </w:rPr>
        <w:t>Įpareigoju</w:t>
      </w:r>
      <w:r w:rsidRPr="00045F71">
        <w:rPr>
          <w:rFonts w:ascii="Times New Roman" w:eastAsia="Times New Roman" w:hAnsi="Times New Roman" w:cs="Times New Roman"/>
          <w:sz w:val="24"/>
          <w:szCs w:val="24"/>
        </w:rPr>
        <w:t xml:space="preserve"> Tarnybos Teisės departamento Teisės taikymo skyriaus</w:t>
      </w:r>
      <w:r w:rsidRPr="00045F71" w:rsidDel="003743A1">
        <w:rPr>
          <w:rFonts w:ascii="Times New Roman" w:eastAsia="Times New Roman" w:hAnsi="Times New Roman" w:cs="Times New Roman"/>
          <w:sz w:val="24"/>
          <w:szCs w:val="24"/>
        </w:rPr>
        <w:t xml:space="preserve"> </w:t>
      </w:r>
      <w:r w:rsidRPr="00045F71">
        <w:rPr>
          <w:rFonts w:ascii="Times New Roman" w:eastAsia="Times New Roman" w:hAnsi="Times New Roman" w:cs="Times New Roman"/>
          <w:sz w:val="24"/>
          <w:szCs w:val="24"/>
        </w:rPr>
        <w:t>vyriausiąją specialistę Ugnę Galušką</w:t>
      </w:r>
      <w:r w:rsidRPr="00045F71">
        <w:rPr>
          <w:rFonts w:ascii="Times New Roman" w:eastAsia="Times New Roman" w:hAnsi="Times New Roman" w:cs="Times New Roman"/>
          <w:bCs/>
          <w:sz w:val="24"/>
          <w:szCs w:val="24"/>
        </w:rPr>
        <w:t xml:space="preserve"> </w:t>
      </w:r>
      <w:r w:rsidRPr="00045F71">
        <w:rPr>
          <w:rFonts w:ascii="Times New Roman" w:eastAsia="Times New Roman" w:hAnsi="Times New Roman" w:cs="Times New Roman"/>
          <w:color w:val="000000"/>
          <w:sz w:val="24"/>
          <w:szCs w:val="24"/>
        </w:rPr>
        <w:t xml:space="preserve">ne vėliau kaip per 3 darbo dienas nuo šio įsakymo priėmimo dienos išsiųsti </w:t>
      </w:r>
      <w:r w:rsidRPr="00045F71">
        <w:rPr>
          <w:rFonts w:ascii="Times New Roman" w:eastAsia="Times New Roman" w:hAnsi="Times New Roman" w:cs="Times New Roman"/>
          <w:sz w:val="24"/>
          <w:szCs w:val="24"/>
        </w:rPr>
        <w:t>šį įsakymą Vartotojui ir Teikėjui.</w:t>
      </w:r>
    </w:p>
    <w:p w:rsidR="00031D65" w:rsidRPr="00045F71" w:rsidRDefault="00031D65" w:rsidP="00031D65">
      <w:pPr>
        <w:pStyle w:val="Standard"/>
        <w:ind w:firstLine="720"/>
        <w:jc w:val="both"/>
        <w:rPr>
          <w:rFonts w:cs="Times New Roman"/>
          <w:bCs/>
        </w:rPr>
      </w:pPr>
    </w:p>
    <w:p w:rsidR="00031D65" w:rsidRPr="00C47098" w:rsidRDefault="00031D65" w:rsidP="00F37558">
      <w:pPr>
        <w:pStyle w:val="Standard"/>
        <w:ind w:firstLine="709"/>
        <w:jc w:val="both"/>
      </w:pPr>
      <w:r w:rsidRPr="00C47098">
        <w:rPr>
          <w:rFonts w:cs="Times New Roman"/>
          <w:bCs/>
        </w:rPr>
        <w:t xml:space="preserve"> </w:t>
      </w:r>
    </w:p>
    <w:p w:rsidR="000156ED" w:rsidRDefault="00031D65" w:rsidP="00031D65">
      <w:pPr>
        <w:pStyle w:val="Header"/>
        <w:tabs>
          <w:tab w:val="clear" w:pos="4320"/>
          <w:tab w:val="clear" w:pos="8640"/>
          <w:tab w:val="left" w:pos="7088"/>
          <w:tab w:val="right" w:pos="9639"/>
        </w:tabs>
        <w:rPr>
          <w:szCs w:val="24"/>
        </w:rPr>
      </w:pPr>
      <w:r w:rsidRPr="00C47098">
        <w:rPr>
          <w:szCs w:val="24"/>
        </w:rPr>
        <w:t>Direktori</w:t>
      </w:r>
      <w:r>
        <w:rPr>
          <w:szCs w:val="24"/>
        </w:rPr>
        <w:t>aus pavaduotojas</w:t>
      </w:r>
      <w:r w:rsidR="00F37558">
        <w:rPr>
          <w:szCs w:val="24"/>
        </w:rPr>
        <w:t>,</w:t>
      </w:r>
      <w:r>
        <w:rPr>
          <w:szCs w:val="24"/>
        </w:rPr>
        <w:tab/>
        <w:t xml:space="preserve">                Giedrius Pūras</w:t>
      </w:r>
    </w:p>
    <w:p w:rsidR="00F37558" w:rsidRPr="00B60273" w:rsidRDefault="00F37558" w:rsidP="00031D65">
      <w:pPr>
        <w:pStyle w:val="Header"/>
        <w:tabs>
          <w:tab w:val="clear" w:pos="4320"/>
          <w:tab w:val="clear" w:pos="8640"/>
          <w:tab w:val="left" w:pos="7088"/>
          <w:tab w:val="right" w:pos="9639"/>
        </w:tabs>
        <w:rPr>
          <w:szCs w:val="24"/>
        </w:rPr>
      </w:pPr>
      <w:r>
        <w:rPr>
          <w:szCs w:val="24"/>
        </w:rPr>
        <w:t>pavaduojantis direktorių</w:t>
      </w:r>
    </w:p>
    <w:sectPr w:rsidR="00F37558" w:rsidRPr="00B60273" w:rsidSect="008B4E60">
      <w:headerReference w:type="default" r:id="rId9"/>
      <w:pgSz w:w="11906" w:h="16838" w:code="9"/>
      <w:pgMar w:top="1134" w:right="567" w:bottom="1134" w:left="1701" w:header="567" w:footer="20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EB7" w:rsidRDefault="00D22EB7" w:rsidP="00031D65">
      <w:pPr>
        <w:spacing w:after="0" w:line="240" w:lineRule="auto"/>
      </w:pPr>
      <w:r>
        <w:separator/>
      </w:r>
    </w:p>
  </w:endnote>
  <w:endnote w:type="continuationSeparator" w:id="0">
    <w:p w:rsidR="00D22EB7" w:rsidRDefault="00D22EB7" w:rsidP="00031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BA"/>
    <w:family w:val="swiss"/>
    <w:pitch w:val="variable"/>
    <w:sig w:usb0="20000287" w:usb1="00000000"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EB7" w:rsidRDefault="00D22EB7" w:rsidP="00031D65">
      <w:pPr>
        <w:spacing w:after="0" w:line="240" w:lineRule="auto"/>
      </w:pPr>
      <w:r>
        <w:separator/>
      </w:r>
    </w:p>
  </w:footnote>
  <w:footnote w:type="continuationSeparator" w:id="0">
    <w:p w:rsidR="00D22EB7" w:rsidRDefault="00D22EB7" w:rsidP="00031D65">
      <w:pPr>
        <w:spacing w:after="0" w:line="240" w:lineRule="auto"/>
      </w:pPr>
      <w:r>
        <w:continuationSeparator/>
      </w:r>
    </w:p>
  </w:footnote>
  <w:footnote w:id="1">
    <w:p w:rsidR="00031D65" w:rsidRPr="009B23CA" w:rsidRDefault="00031D65" w:rsidP="00031D65">
      <w:pPr>
        <w:pStyle w:val="FootnoteText"/>
        <w:jc w:val="both"/>
        <w:rPr>
          <w:b w:val="0"/>
          <w:lang w:val="lt-LT"/>
        </w:rPr>
      </w:pPr>
      <w:r w:rsidRPr="009B23CA">
        <w:rPr>
          <w:rStyle w:val="FootnoteReference"/>
          <w:b w:val="0"/>
        </w:rPr>
        <w:footnoteRef/>
      </w:r>
      <w:r w:rsidRPr="009B23CA">
        <w:rPr>
          <w:b w:val="0"/>
        </w:rPr>
        <w:t xml:space="preserve"> </w:t>
      </w:r>
      <w:r w:rsidRPr="009B23CA">
        <w:rPr>
          <w:b w:val="0"/>
          <w:lang w:val="lt-LT"/>
        </w:rPr>
        <w:t>LAT 2014 m. gegužės 30 d. nutartis civilinėje byloje Nr. 3K-3-304/2014 (UAB „Identia“ ir UAB „Verslo sindikato apskaita“)</w:t>
      </w:r>
      <w:r>
        <w:rPr>
          <w:b w:val="0"/>
          <w:lang w:val="lt-LT"/>
        </w:rPr>
        <w:t>.</w:t>
      </w:r>
    </w:p>
  </w:footnote>
  <w:footnote w:id="2">
    <w:p w:rsidR="00031D65" w:rsidRPr="009B23CA" w:rsidRDefault="00031D65" w:rsidP="00031D65">
      <w:pPr>
        <w:pStyle w:val="FootnoteText"/>
        <w:jc w:val="both"/>
        <w:rPr>
          <w:b w:val="0"/>
          <w:lang w:val="lt-LT"/>
        </w:rPr>
      </w:pPr>
      <w:r w:rsidRPr="009B23CA">
        <w:rPr>
          <w:rStyle w:val="FootnoteReference"/>
          <w:b w:val="0"/>
        </w:rPr>
        <w:footnoteRef/>
      </w:r>
      <w:r w:rsidRPr="009B23CA">
        <w:rPr>
          <w:b w:val="0"/>
        </w:rPr>
        <w:t xml:space="preserve"> </w:t>
      </w:r>
      <w:r w:rsidRPr="009B23CA">
        <w:rPr>
          <w:b w:val="0"/>
          <w:color w:val="000000"/>
        </w:rPr>
        <w:t>Lietuvos apeliacinio teismo 2016 m. gegužės 19 d. sprendimas civilinėje byloje Nr. 2A-628-196/2016</w:t>
      </w:r>
      <w:r>
        <w:rPr>
          <w:b w:val="0"/>
          <w:color w:val="000000"/>
          <w:lang w:val="lt-LT"/>
        </w:rPr>
        <w:t xml:space="preserve"> (UAB „Media House“ ir UAB „Omnitel“).</w:t>
      </w:r>
    </w:p>
  </w:footnote>
  <w:footnote w:id="3">
    <w:p w:rsidR="00031D65" w:rsidRDefault="00031D65" w:rsidP="00031D65">
      <w:pPr>
        <w:pStyle w:val="FootnoteText"/>
        <w:jc w:val="both"/>
      </w:pPr>
      <w:r w:rsidRPr="00304D52">
        <w:rPr>
          <w:rStyle w:val="FootnoteReference"/>
          <w:b w:val="0"/>
        </w:rPr>
        <w:footnoteRef/>
      </w:r>
      <w:r w:rsidRPr="00304D52">
        <w:rPr>
          <w:b w:val="0"/>
        </w:rPr>
        <w:t xml:space="preserve"> </w:t>
      </w:r>
      <w:r w:rsidRPr="00304D52">
        <w:rPr>
          <w:b w:val="0"/>
          <w:szCs w:val="24"/>
        </w:rPr>
        <w:t xml:space="preserve">2015 m. lapkričio 25 d. Europos Parlamento ir Tarybos reglamentas (EB) Nr. 2015/2120, </w:t>
      </w:r>
      <w:r w:rsidRPr="00304D52">
        <w:rPr>
          <w:b w:val="0"/>
          <w:color w:val="000000"/>
        </w:rPr>
        <w:t>kuriuo nustatomos</w:t>
      </w:r>
      <w:r w:rsidRPr="00AF16F7">
        <w:rPr>
          <w:b w:val="0"/>
          <w:color w:val="000000"/>
        </w:rPr>
        <w:t xml:space="preserve"> priemonės, susijusios su atvira interneto prieiga, ir kuriuo iš dalies keičiami Direktyva 2002/22/EB dėl universaliųjų paslaugų ir paslaugų gavėjų teisių, susijusių su elektroninių ryšių tinklais ir paslaugomis, ir Reglamentas (ES) Nr. 531/2012 dėl tarptinklinio ryšio per viešuosius judriojo ryšio tinklus Sąjungoje</w:t>
      </w:r>
      <w:r>
        <w:rPr>
          <w:b w:val="0"/>
          <w:color w:val="000000"/>
        </w:rPr>
        <w:t xml:space="preserve"> (OL </w:t>
      </w:r>
      <w:r w:rsidRPr="00AF16F7">
        <w:rPr>
          <w:b w:val="0"/>
        </w:rPr>
        <w:t>2015 L</w:t>
      </w:r>
      <w:r>
        <w:rPr>
          <w:b w:val="0"/>
        </w:rPr>
        <w:t xml:space="preserve"> 1 </w:t>
      </w:r>
      <w:r w:rsidRPr="00AF16F7">
        <w:rPr>
          <w:b w:val="0"/>
        </w:rPr>
        <w:t xml:space="preserve"> p. 310</w:t>
      </w:r>
      <w:r>
        <w:rPr>
          <w:b w:val="0"/>
        </w:rPr>
        <w:t xml:space="preserve">). Visą dokumento tekstą galite rasti interneto svetainėje adresu </w:t>
      </w:r>
      <w:r w:rsidRPr="00EF3A9C">
        <w:rPr>
          <w:b w:val="0"/>
        </w:rPr>
        <w:t>http://eur-lex.europa.eu/legal-content/LT/TXT/HTML/?uri=CELEX:32015R2120&amp;rid=1</w:t>
      </w:r>
      <w:r>
        <w:rPr>
          <w:b w:val="0"/>
        </w:rPr>
        <w:t>.</w:t>
      </w:r>
    </w:p>
  </w:footnote>
  <w:footnote w:id="4">
    <w:p w:rsidR="00031D65" w:rsidRPr="00F852B6" w:rsidRDefault="00031D65" w:rsidP="00031D65">
      <w:pPr>
        <w:pStyle w:val="FootnoteText"/>
        <w:jc w:val="both"/>
        <w:rPr>
          <w:b w:val="0"/>
          <w:lang w:val="lt-LT"/>
        </w:rPr>
      </w:pPr>
      <w:r w:rsidRPr="00F852B6">
        <w:rPr>
          <w:rStyle w:val="FootnoteReference"/>
          <w:b w:val="0"/>
        </w:rPr>
        <w:footnoteRef/>
      </w:r>
      <w:r w:rsidRPr="00F852B6">
        <w:rPr>
          <w:b w:val="0"/>
        </w:rPr>
        <w:t xml:space="preserve"> </w:t>
      </w:r>
      <w:r w:rsidRPr="00F852B6">
        <w:rPr>
          <w:b w:val="0"/>
          <w:lang w:val="lt-LT"/>
        </w:rPr>
        <w:t xml:space="preserve">Naudojant </w:t>
      </w:r>
      <w:r>
        <w:rPr>
          <w:b w:val="0"/>
          <w:lang w:val="lt-LT"/>
        </w:rPr>
        <w:t>LTE</w:t>
      </w:r>
      <w:r w:rsidRPr="00F852B6">
        <w:rPr>
          <w:b w:val="0"/>
          <w:lang w:val="lt-LT"/>
        </w:rPr>
        <w:t xml:space="preserve"> technologiją teikiamų elektroninių ryšių paslaugų mokėjimo planų kainodara priklauso nuo maksimalios duomenų perdavimo ir priėmimo spartos: </w:t>
      </w:r>
      <w:r>
        <w:rPr>
          <w:b w:val="0"/>
          <w:lang w:val="lt-LT"/>
        </w:rPr>
        <w:t>iki 10 Mbps, iki 18 Mbps,</w:t>
      </w:r>
      <w:r w:rsidRPr="00F852B6">
        <w:rPr>
          <w:b w:val="0"/>
          <w:lang w:val="lt-LT"/>
        </w:rPr>
        <w:t xml:space="preserve"> </w:t>
      </w:r>
      <w:r>
        <w:rPr>
          <w:b w:val="0"/>
          <w:lang w:val="lt-LT"/>
        </w:rPr>
        <w:t>iki 30 Mbps (žiūrėta 2016 m. gruodžio 28 d.)</w:t>
      </w:r>
    </w:p>
  </w:footnote>
  <w:footnote w:id="5">
    <w:p w:rsidR="00031D65" w:rsidRPr="00300C7D" w:rsidRDefault="00031D65" w:rsidP="00031D65">
      <w:pPr>
        <w:pStyle w:val="FootnoteText"/>
        <w:rPr>
          <w:b w:val="0"/>
          <w:lang w:val="lt-LT"/>
        </w:rPr>
      </w:pPr>
      <w:r w:rsidRPr="00300C7D">
        <w:rPr>
          <w:rStyle w:val="FootnoteReference"/>
          <w:b w:val="0"/>
        </w:rPr>
        <w:footnoteRef/>
      </w:r>
      <w:r w:rsidRPr="00300C7D">
        <w:rPr>
          <w:b w:val="0"/>
        </w:rPr>
        <w:t xml:space="preserve"> </w:t>
      </w:r>
      <w:r>
        <w:rPr>
          <w:b w:val="0"/>
          <w:lang w:val="lt-LT"/>
        </w:rPr>
        <w:t>LAT 2012 m. spalio 25 d. apžvalga Nr. AC-37-1.</w:t>
      </w:r>
    </w:p>
  </w:footnote>
  <w:footnote w:id="6">
    <w:p w:rsidR="00031D65" w:rsidRPr="001A7AE2" w:rsidRDefault="00031D65" w:rsidP="00031D65">
      <w:pPr>
        <w:pStyle w:val="FootnoteText"/>
        <w:jc w:val="both"/>
        <w:rPr>
          <w:b w:val="0"/>
          <w:lang w:val="lt-LT"/>
        </w:rPr>
      </w:pPr>
      <w:r w:rsidRPr="001A7AE2">
        <w:rPr>
          <w:rStyle w:val="FootnoteReference"/>
          <w:b w:val="0"/>
        </w:rPr>
        <w:footnoteRef/>
      </w:r>
      <w:r w:rsidRPr="001A7AE2">
        <w:rPr>
          <w:b w:val="0"/>
        </w:rPr>
        <w:t xml:space="preserve"> </w:t>
      </w:r>
      <w:r w:rsidRPr="001A7AE2">
        <w:rPr>
          <w:b w:val="0"/>
          <w:lang w:val="lt-LT"/>
        </w:rPr>
        <w:t xml:space="preserve">LAT 2016 m. balandžio 25 d. nutartis civilinėje </w:t>
      </w:r>
      <w:r>
        <w:rPr>
          <w:b w:val="0"/>
          <w:lang w:val="lt-LT"/>
        </w:rPr>
        <w:t>byloje Nr. 3K-3-234-248/2016.</w:t>
      </w:r>
    </w:p>
  </w:footnote>
  <w:footnote w:id="7">
    <w:p w:rsidR="00031D65" w:rsidRPr="00300C7D" w:rsidRDefault="00031D65" w:rsidP="00031D65">
      <w:pPr>
        <w:pStyle w:val="FootnoteText"/>
        <w:rPr>
          <w:lang w:val="lt-LT"/>
        </w:rPr>
      </w:pPr>
      <w:r w:rsidRPr="00300C7D">
        <w:rPr>
          <w:rStyle w:val="FootnoteReference"/>
          <w:b w:val="0"/>
        </w:rPr>
        <w:footnoteRef/>
      </w:r>
      <w:r w:rsidRPr="00300C7D">
        <w:rPr>
          <w:b w:val="0"/>
        </w:rPr>
        <w:t xml:space="preserve"> </w:t>
      </w:r>
      <w:r w:rsidRPr="00300C7D">
        <w:rPr>
          <w:b w:val="0"/>
          <w:lang w:val="lt-LT"/>
        </w:rPr>
        <w:t>L</w:t>
      </w:r>
      <w:r>
        <w:rPr>
          <w:b w:val="0"/>
          <w:lang w:val="lt-LT"/>
        </w:rPr>
        <w:t xml:space="preserve">AT </w:t>
      </w:r>
      <w:r w:rsidRPr="00300C7D">
        <w:rPr>
          <w:b w:val="0"/>
          <w:lang w:val="lt-LT"/>
        </w:rPr>
        <w:t>2015 m. gegužės 8 d. nutartis civilinėje byloje Nr. 3K-3-267-916/2015.</w:t>
      </w:r>
    </w:p>
  </w:footnote>
  <w:footnote w:id="8">
    <w:p w:rsidR="00031D65" w:rsidRPr="00E655B8" w:rsidRDefault="00031D65" w:rsidP="00031D65">
      <w:pPr>
        <w:pStyle w:val="FootnoteText"/>
        <w:rPr>
          <w:b w:val="0"/>
          <w:lang w:val="lt-LT"/>
        </w:rPr>
      </w:pPr>
      <w:r w:rsidRPr="00E655B8">
        <w:rPr>
          <w:rStyle w:val="FootnoteReference"/>
          <w:b w:val="0"/>
        </w:rPr>
        <w:footnoteRef/>
      </w:r>
      <w:r w:rsidRPr="00E655B8">
        <w:rPr>
          <w:b w:val="0"/>
        </w:rPr>
        <w:t xml:space="preserve"> </w:t>
      </w:r>
      <w:r w:rsidRPr="00E655B8">
        <w:rPr>
          <w:b w:val="0"/>
          <w:lang w:val="lt-LT"/>
        </w:rPr>
        <w:t>L</w:t>
      </w:r>
      <w:r>
        <w:rPr>
          <w:b w:val="0"/>
          <w:lang w:val="lt-LT"/>
        </w:rPr>
        <w:t xml:space="preserve">AT </w:t>
      </w:r>
      <w:r w:rsidRPr="00E655B8">
        <w:rPr>
          <w:b w:val="0"/>
          <w:lang w:val="lt-LT"/>
        </w:rPr>
        <w:t>2012 m. spalio 25 d. apžvalga Nr. AC-37-1.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940868"/>
      <w:docPartObj>
        <w:docPartGallery w:val="Page Numbers (Top of Page)"/>
        <w:docPartUnique/>
      </w:docPartObj>
    </w:sdtPr>
    <w:sdtEndPr/>
    <w:sdtContent>
      <w:p w:rsidR="00581865" w:rsidRDefault="00D22EB7">
        <w:pPr>
          <w:pStyle w:val="Header"/>
          <w:jc w:val="center"/>
        </w:pPr>
        <w:r>
          <w:fldChar w:fldCharType="begin"/>
        </w:r>
        <w:r>
          <w:instrText>PAGE   \* MERGEFORMAT</w:instrText>
        </w:r>
        <w:r>
          <w:fldChar w:fldCharType="separate"/>
        </w:r>
        <w:r w:rsidR="00F961E6">
          <w:rPr>
            <w:noProof/>
          </w:rPr>
          <w:t>7</w:t>
        </w:r>
        <w:r>
          <w:fldChar w:fldCharType="end"/>
        </w:r>
      </w:p>
    </w:sdtContent>
  </w:sdt>
  <w:p w:rsidR="00581865" w:rsidRDefault="00D22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6AF5E2"/>
    <w:lvl w:ilvl="0">
      <w:numFmt w:val="bullet"/>
      <w:lvlText w:val="*"/>
      <w:lvlJc w:val="left"/>
    </w:lvl>
  </w:abstractNum>
  <w:num w:numId="1">
    <w:abstractNumId w:val="0"/>
    <w:lvlOverride w:ilvl="0">
      <w:lvl w:ilvl="0">
        <w:start w:val="65535"/>
        <w:numFmt w:val="bullet"/>
        <w:lvlText w:val="-"/>
        <w:legacy w:legacy="1" w:legacySpace="0" w:legacyIndent="351"/>
        <w:lvlJc w:val="left"/>
        <w:rPr>
          <w:rFonts w:ascii="Tahoma" w:hAnsi="Tahoma" w:cs="Tahom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D65"/>
    <w:rsid w:val="0000624F"/>
    <w:rsid w:val="00031D65"/>
    <w:rsid w:val="000E1C95"/>
    <w:rsid w:val="00861CF5"/>
    <w:rsid w:val="00AA58E0"/>
    <w:rsid w:val="00B60273"/>
    <w:rsid w:val="00D22EB7"/>
    <w:rsid w:val="00F37558"/>
    <w:rsid w:val="00F9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C9C1"/>
  <w15:chartTrackingRefBased/>
  <w15:docId w15:val="{4E3E1C48-1D21-42BE-AE52-6B4CEE95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D65"/>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31D6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31D65"/>
    <w:rPr>
      <w:rFonts w:ascii="Times New Roman" w:eastAsia="Times New Roman" w:hAnsi="Times New Roman" w:cs="Times New Roman"/>
      <w:sz w:val="24"/>
      <w:szCs w:val="20"/>
      <w:lang w:val="lt-LT"/>
    </w:rPr>
  </w:style>
  <w:style w:type="character" w:styleId="Hyperlink">
    <w:name w:val="Hyperlink"/>
    <w:rsid w:val="00031D65"/>
    <w:rPr>
      <w:color w:val="0000FF"/>
      <w:u w:val="single"/>
    </w:rPr>
  </w:style>
  <w:style w:type="paragraph" w:styleId="FootnoteText">
    <w:name w:val="footnote text"/>
    <w:basedOn w:val="Normal"/>
    <w:link w:val="FootnoteTextChar"/>
    <w:uiPriority w:val="99"/>
    <w:rsid w:val="00031D65"/>
    <w:pPr>
      <w:spacing w:after="0" w:line="240" w:lineRule="auto"/>
    </w:pPr>
    <w:rPr>
      <w:rFonts w:ascii="Times New Roman" w:eastAsia="Times New Roman" w:hAnsi="Times New Roman" w:cs="Times New Roman"/>
      <w:b/>
      <w:sz w:val="20"/>
      <w:szCs w:val="20"/>
      <w:lang w:val="x-none"/>
    </w:rPr>
  </w:style>
  <w:style w:type="character" w:customStyle="1" w:styleId="FootnoteTextChar">
    <w:name w:val="Footnote Text Char"/>
    <w:basedOn w:val="DefaultParagraphFont"/>
    <w:link w:val="FootnoteText"/>
    <w:uiPriority w:val="99"/>
    <w:rsid w:val="00031D65"/>
    <w:rPr>
      <w:rFonts w:ascii="Times New Roman" w:eastAsia="Times New Roman" w:hAnsi="Times New Roman" w:cs="Times New Roman"/>
      <w:b/>
      <w:sz w:val="20"/>
      <w:szCs w:val="20"/>
      <w:lang w:val="x-none"/>
    </w:rPr>
  </w:style>
  <w:style w:type="character" w:styleId="FootnoteReference">
    <w:name w:val="footnote reference"/>
    <w:uiPriority w:val="99"/>
    <w:rsid w:val="00031D65"/>
    <w:rPr>
      <w:vertAlign w:val="superscript"/>
    </w:rPr>
  </w:style>
  <w:style w:type="character" w:customStyle="1" w:styleId="FontStyle18">
    <w:name w:val="Font Style18"/>
    <w:rsid w:val="00031D65"/>
    <w:rPr>
      <w:rFonts w:ascii="Times New Roman" w:hAnsi="Times New Roman" w:cs="Times New Roman"/>
      <w:color w:val="000000"/>
      <w:sz w:val="22"/>
      <w:szCs w:val="22"/>
    </w:rPr>
  </w:style>
  <w:style w:type="paragraph" w:customStyle="1" w:styleId="Standard">
    <w:name w:val="Standard"/>
    <w:rsid w:val="00031D65"/>
    <w:pPr>
      <w:suppressAutoHyphens/>
      <w:autoSpaceDN w:val="0"/>
      <w:spacing w:after="0" w:line="240" w:lineRule="auto"/>
      <w:textAlignment w:val="baseline"/>
    </w:pPr>
    <w:rPr>
      <w:rFonts w:ascii="Times New Roman" w:eastAsia="SimSun" w:hAnsi="Times New Roman" w:cs="Mangal"/>
      <w:kern w:val="3"/>
      <w:sz w:val="24"/>
      <w:szCs w:val="24"/>
      <w:lang w:val="lt-LT" w:eastAsia="zh-CN" w:bidi="hi-IN"/>
    </w:rPr>
  </w:style>
  <w:style w:type="character" w:customStyle="1" w:styleId="FontStyle14">
    <w:name w:val="Font Style14"/>
    <w:basedOn w:val="DefaultParagraphFont"/>
    <w:uiPriority w:val="99"/>
    <w:rsid w:val="00031D65"/>
    <w:rPr>
      <w:rFonts w:ascii="Tahoma" w:hAnsi="Tahoma" w:cs="Tahoma"/>
      <w:color w:val="000000"/>
      <w:sz w:val="18"/>
      <w:szCs w:val="18"/>
    </w:rPr>
  </w:style>
  <w:style w:type="paragraph" w:customStyle="1" w:styleId="Style5">
    <w:name w:val="Style5"/>
    <w:basedOn w:val="Normal"/>
    <w:uiPriority w:val="99"/>
    <w:rsid w:val="00031D65"/>
    <w:pPr>
      <w:widowControl w:val="0"/>
      <w:autoSpaceDE w:val="0"/>
      <w:autoSpaceDN w:val="0"/>
      <w:adjustRightInd w:val="0"/>
      <w:spacing w:after="0" w:line="266" w:lineRule="exact"/>
      <w:ind w:firstLine="706"/>
      <w:jc w:val="both"/>
    </w:pPr>
    <w:rPr>
      <w:rFonts w:ascii="Tahoma" w:eastAsiaTheme="minorEastAsia" w:hAnsi="Tahoma" w:cs="Tahoma"/>
      <w:sz w:val="24"/>
      <w:szCs w:val="24"/>
      <w:lang w:eastAsia="lt-LT"/>
    </w:rPr>
  </w:style>
  <w:style w:type="paragraph" w:customStyle="1" w:styleId="Style8">
    <w:name w:val="Style8"/>
    <w:basedOn w:val="Normal"/>
    <w:uiPriority w:val="99"/>
    <w:rsid w:val="00031D65"/>
    <w:pPr>
      <w:widowControl w:val="0"/>
      <w:autoSpaceDE w:val="0"/>
      <w:autoSpaceDN w:val="0"/>
      <w:adjustRightInd w:val="0"/>
      <w:spacing w:after="0" w:line="276" w:lineRule="exact"/>
      <w:ind w:firstLine="869"/>
    </w:pPr>
    <w:rPr>
      <w:rFonts w:ascii="Tahoma" w:eastAsiaTheme="minorEastAsia" w:hAnsi="Tahoma" w:cs="Tahoma"/>
      <w:sz w:val="24"/>
      <w:szCs w:val="24"/>
      <w:lang w:eastAsia="lt-LT"/>
    </w:rPr>
  </w:style>
  <w:style w:type="paragraph" w:customStyle="1" w:styleId="Style9">
    <w:name w:val="Style9"/>
    <w:basedOn w:val="Normal"/>
    <w:uiPriority w:val="99"/>
    <w:rsid w:val="00031D65"/>
    <w:pPr>
      <w:widowControl w:val="0"/>
      <w:autoSpaceDE w:val="0"/>
      <w:autoSpaceDN w:val="0"/>
      <w:adjustRightInd w:val="0"/>
      <w:spacing w:after="0" w:line="275" w:lineRule="exact"/>
      <w:ind w:firstLine="989"/>
      <w:jc w:val="both"/>
    </w:pPr>
    <w:rPr>
      <w:rFonts w:ascii="Tahoma" w:eastAsiaTheme="minorEastAsia" w:hAnsi="Tahoma" w:cs="Tahoma"/>
      <w:sz w:val="24"/>
      <w:szCs w:val="24"/>
      <w:lang w:eastAsia="lt-LT"/>
    </w:rPr>
  </w:style>
  <w:style w:type="paragraph" w:customStyle="1" w:styleId="Style1">
    <w:name w:val="Style1"/>
    <w:basedOn w:val="Normal"/>
    <w:uiPriority w:val="99"/>
    <w:rsid w:val="00031D65"/>
    <w:pPr>
      <w:widowControl w:val="0"/>
      <w:autoSpaceDE w:val="0"/>
      <w:autoSpaceDN w:val="0"/>
      <w:adjustRightInd w:val="0"/>
      <w:spacing w:after="0" w:line="240" w:lineRule="exact"/>
      <w:jc w:val="both"/>
    </w:pPr>
    <w:rPr>
      <w:rFonts w:ascii="Tahoma" w:eastAsiaTheme="minorEastAsia" w:hAnsi="Tahoma" w:cs="Tahoma"/>
      <w:sz w:val="24"/>
      <w:szCs w:val="24"/>
      <w:lang w:eastAsia="lt-LT"/>
    </w:rPr>
  </w:style>
  <w:style w:type="character" w:customStyle="1" w:styleId="FontStyle15">
    <w:name w:val="Font Style15"/>
    <w:basedOn w:val="DefaultParagraphFont"/>
    <w:uiPriority w:val="99"/>
    <w:rsid w:val="00031D65"/>
    <w:rPr>
      <w:rFonts w:ascii="Tahoma" w:hAnsi="Tahoma" w:cs="Tahoma"/>
      <w:color w:val="000000"/>
      <w:spacing w:val="-10"/>
      <w:sz w:val="32"/>
      <w:szCs w:val="32"/>
    </w:rPr>
  </w:style>
  <w:style w:type="character" w:customStyle="1" w:styleId="FontStyle17">
    <w:name w:val="Font Style17"/>
    <w:basedOn w:val="DefaultParagraphFont"/>
    <w:uiPriority w:val="99"/>
    <w:rsid w:val="00031D65"/>
    <w:rPr>
      <w:rFonts w:ascii="Tahoma" w:hAnsi="Tahoma" w:cs="Tahoma"/>
      <w:color w:val="000000"/>
      <w:sz w:val="20"/>
      <w:szCs w:val="20"/>
    </w:rPr>
  </w:style>
  <w:style w:type="paragraph" w:customStyle="1" w:styleId="Default">
    <w:name w:val="Default"/>
    <w:rsid w:val="00031D65"/>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FontStyle79">
    <w:name w:val="Font Style79"/>
    <w:basedOn w:val="DefaultParagraphFont"/>
    <w:uiPriority w:val="99"/>
    <w:rsid w:val="00031D65"/>
    <w:rPr>
      <w:rFonts w:ascii="MS Reference Sans Serif" w:hAnsi="MS Reference Sans Serif" w:cs="MS Reference Sans Serif"/>
      <w:color w:val="000000"/>
      <w:sz w:val="18"/>
      <w:szCs w:val="18"/>
    </w:rPr>
  </w:style>
  <w:style w:type="paragraph" w:styleId="BalloonText">
    <w:name w:val="Balloon Text"/>
    <w:basedOn w:val="Normal"/>
    <w:link w:val="BalloonTextChar"/>
    <w:uiPriority w:val="99"/>
    <w:semiHidden/>
    <w:unhideWhenUsed/>
    <w:rsid w:val="00F375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558"/>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praktika/demo/Default.aspx?id=20&amp;item=doc&amp;aktoid=9400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4445</Words>
  <Characters>25342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Galuška</dc:creator>
  <cp:keywords/>
  <dc:description/>
  <cp:lastModifiedBy>Ugnė Galuška</cp:lastModifiedBy>
  <cp:revision>2</cp:revision>
  <cp:lastPrinted>2017-01-25T08:20:00Z</cp:lastPrinted>
  <dcterms:created xsi:type="dcterms:W3CDTF">2017-01-25T08:55:00Z</dcterms:created>
  <dcterms:modified xsi:type="dcterms:W3CDTF">2017-01-25T08:55:00Z</dcterms:modified>
</cp:coreProperties>
</file>