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Ind w:w="-110" w:type="dxa"/>
        <w:tblLayout w:type="fixed"/>
        <w:tblCellMar>
          <w:left w:w="70" w:type="dxa"/>
          <w:right w:w="70" w:type="dxa"/>
        </w:tblCellMar>
        <w:tblLook w:val="0000" w:firstRow="0" w:lastRow="0" w:firstColumn="0" w:lastColumn="0" w:noHBand="0" w:noVBand="0"/>
      </w:tblPr>
      <w:tblGrid>
        <w:gridCol w:w="180"/>
        <w:gridCol w:w="1639"/>
        <w:gridCol w:w="3001"/>
        <w:gridCol w:w="1480"/>
        <w:gridCol w:w="3198"/>
        <w:gridCol w:w="42"/>
        <w:gridCol w:w="241"/>
      </w:tblGrid>
      <w:tr w:rsidR="00D57F96" w:rsidRPr="00244581" w14:paraId="1DF0E183" w14:textId="77777777" w:rsidTr="00790B15">
        <w:trPr>
          <w:gridBefore w:val="1"/>
          <w:gridAfter w:val="1"/>
          <w:wBefore w:w="180" w:type="dxa"/>
          <w:wAfter w:w="241" w:type="dxa"/>
          <w:cantSplit/>
        </w:trPr>
        <w:tc>
          <w:tcPr>
            <w:tcW w:w="6120" w:type="dxa"/>
            <w:gridSpan w:val="3"/>
          </w:tcPr>
          <w:p w14:paraId="50FEDC92" w14:textId="77777777" w:rsidR="0020389B" w:rsidRPr="00244581" w:rsidRDefault="0020389B" w:rsidP="00790B15"/>
          <w:p w14:paraId="0418699B" w14:textId="08A8DBA4" w:rsidR="00D57F96" w:rsidRPr="00244581" w:rsidRDefault="00D57F96" w:rsidP="00790B15">
            <w:r w:rsidRPr="00244581">
              <w:br w:type="page"/>
            </w:r>
            <w:r w:rsidRPr="00244581">
              <w:rPr>
                <w:noProof/>
                <w:lang w:eastAsia="fr-FR"/>
              </w:rPr>
              <w:drawing>
                <wp:inline distT="0" distB="0" distL="0" distR="0" wp14:anchorId="4571410F" wp14:editId="24D9A91A">
                  <wp:extent cx="1621790" cy="836930"/>
                  <wp:effectExtent l="0" t="0" r="0" b="127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1790" cy="836930"/>
                          </a:xfrm>
                          <a:prstGeom prst="rect">
                            <a:avLst/>
                          </a:prstGeom>
                          <a:noFill/>
                          <a:ln>
                            <a:noFill/>
                          </a:ln>
                        </pic:spPr>
                      </pic:pic>
                    </a:graphicData>
                  </a:graphic>
                </wp:inline>
              </w:drawing>
            </w:r>
          </w:p>
          <w:p w14:paraId="37980CDE" w14:textId="77777777" w:rsidR="00D57F96" w:rsidRPr="00244581" w:rsidRDefault="00D57F96" w:rsidP="00790B15">
            <w:r w:rsidRPr="00244581">
              <w:rPr>
                <w:rStyle w:val="ECCHLbold"/>
              </w:rPr>
              <w:t>WG SE40</w:t>
            </w:r>
          </w:p>
        </w:tc>
        <w:tc>
          <w:tcPr>
            <w:tcW w:w="3240" w:type="dxa"/>
            <w:gridSpan w:val="2"/>
          </w:tcPr>
          <w:p w14:paraId="5F3264E8" w14:textId="77777777" w:rsidR="00D57F96" w:rsidRPr="00244581" w:rsidRDefault="00D57F96" w:rsidP="00790B15">
            <w:r w:rsidRPr="00244581">
              <w:t xml:space="preserve">Doc. </w:t>
            </w:r>
            <w:bookmarkStart w:id="0" w:name="_Hlk6326837"/>
            <w:r w:rsidRPr="00244581">
              <w:t>SE40</w:t>
            </w:r>
            <w:r w:rsidR="00BF59B3" w:rsidRPr="00244581">
              <w:t>(19)016</w:t>
            </w:r>
            <w:bookmarkEnd w:id="0"/>
          </w:p>
          <w:p w14:paraId="2B560454" w14:textId="77777777" w:rsidR="00D57F96" w:rsidRPr="00244581" w:rsidRDefault="00D57F96" w:rsidP="00790B15"/>
        </w:tc>
      </w:tr>
      <w:tr w:rsidR="00D57F96" w:rsidRPr="00244581" w14:paraId="1BF5E1AD" w14:textId="77777777" w:rsidTr="00790B15">
        <w:tblPrEx>
          <w:tblCellMar>
            <w:left w:w="108" w:type="dxa"/>
            <w:right w:w="108" w:type="dxa"/>
          </w:tblCellMar>
        </w:tblPrEx>
        <w:trPr>
          <w:cantSplit/>
          <w:trHeight w:val="405"/>
        </w:trPr>
        <w:tc>
          <w:tcPr>
            <w:tcW w:w="9498" w:type="dxa"/>
            <w:gridSpan w:val="5"/>
            <w:tcBorders>
              <w:top w:val="nil"/>
              <w:left w:val="nil"/>
              <w:bottom w:val="nil"/>
              <w:right w:val="nil"/>
            </w:tcBorders>
            <w:vAlign w:val="center"/>
          </w:tcPr>
          <w:p w14:paraId="3D080DA5" w14:textId="77777777" w:rsidR="00D57F96" w:rsidRPr="00244581" w:rsidRDefault="00D57F96" w:rsidP="00790B15">
            <w:pPr>
              <w:rPr>
                <w:rStyle w:val="ECCHLbold"/>
              </w:rPr>
            </w:pPr>
            <w:r w:rsidRPr="00244581">
              <w:rPr>
                <w:rStyle w:val="ECCHLbold"/>
              </w:rPr>
              <w:t>Rome, Italy, 16-17 April 2019</w:t>
            </w:r>
          </w:p>
        </w:tc>
        <w:tc>
          <w:tcPr>
            <w:tcW w:w="283" w:type="dxa"/>
            <w:gridSpan w:val="2"/>
            <w:tcBorders>
              <w:top w:val="nil"/>
              <w:left w:val="nil"/>
              <w:bottom w:val="nil"/>
              <w:right w:val="nil"/>
            </w:tcBorders>
            <w:vAlign w:val="center"/>
          </w:tcPr>
          <w:p w14:paraId="79004F7A" w14:textId="77777777" w:rsidR="00D57F96" w:rsidRPr="00244581" w:rsidRDefault="00D57F96" w:rsidP="00790B15">
            <w:pPr>
              <w:rPr>
                <w:rStyle w:val="ECCHLbold"/>
              </w:rPr>
            </w:pPr>
          </w:p>
        </w:tc>
      </w:tr>
      <w:tr w:rsidR="00D57F96" w:rsidRPr="00244581" w14:paraId="10A2930C" w14:textId="77777777" w:rsidTr="00790B15">
        <w:tblPrEx>
          <w:tblCellMar>
            <w:left w:w="108" w:type="dxa"/>
            <w:right w:w="108" w:type="dxa"/>
          </w:tblCellMar>
        </w:tblPrEx>
        <w:trPr>
          <w:cantSplit/>
          <w:trHeight w:hRule="exact" w:val="79"/>
        </w:trPr>
        <w:tc>
          <w:tcPr>
            <w:tcW w:w="4820" w:type="dxa"/>
            <w:gridSpan w:val="3"/>
            <w:tcBorders>
              <w:top w:val="nil"/>
              <w:left w:val="nil"/>
              <w:bottom w:val="nil"/>
              <w:right w:val="nil"/>
            </w:tcBorders>
            <w:vAlign w:val="center"/>
          </w:tcPr>
          <w:p w14:paraId="42DF621E" w14:textId="77777777" w:rsidR="00D57F96" w:rsidRPr="00244581" w:rsidRDefault="00D57F96" w:rsidP="00790B15">
            <w:pPr>
              <w:rPr>
                <w:rStyle w:val="ECCHLbold"/>
              </w:rPr>
            </w:pPr>
          </w:p>
        </w:tc>
        <w:tc>
          <w:tcPr>
            <w:tcW w:w="4961" w:type="dxa"/>
            <w:gridSpan w:val="4"/>
            <w:tcBorders>
              <w:top w:val="nil"/>
              <w:left w:val="nil"/>
              <w:bottom w:val="nil"/>
              <w:right w:val="nil"/>
            </w:tcBorders>
            <w:vAlign w:val="center"/>
          </w:tcPr>
          <w:p w14:paraId="0EC4028D" w14:textId="77777777" w:rsidR="00D57F96" w:rsidRPr="00244581" w:rsidRDefault="00D57F96" w:rsidP="00790B15">
            <w:pPr>
              <w:rPr>
                <w:rStyle w:val="ECCHLbold"/>
              </w:rPr>
            </w:pPr>
          </w:p>
        </w:tc>
      </w:tr>
      <w:tr w:rsidR="00D57F96" w:rsidRPr="00244581" w14:paraId="69A908DB" w14:textId="77777777" w:rsidTr="00790B15">
        <w:tblPrEx>
          <w:tblCellMar>
            <w:left w:w="108" w:type="dxa"/>
            <w:right w:w="108" w:type="dxa"/>
          </w:tblCellMar>
        </w:tblPrEx>
        <w:trPr>
          <w:cantSplit/>
          <w:trHeight w:val="405"/>
        </w:trPr>
        <w:tc>
          <w:tcPr>
            <w:tcW w:w="1819" w:type="dxa"/>
            <w:gridSpan w:val="2"/>
            <w:tcBorders>
              <w:top w:val="nil"/>
              <w:left w:val="nil"/>
              <w:bottom w:val="nil"/>
              <w:right w:val="nil"/>
            </w:tcBorders>
            <w:vAlign w:val="center"/>
          </w:tcPr>
          <w:p w14:paraId="47EFF333" w14:textId="77777777" w:rsidR="00D57F96" w:rsidRPr="00244581" w:rsidRDefault="00D57F96" w:rsidP="00790B15">
            <w:pPr>
              <w:rPr>
                <w:rStyle w:val="ECCHLbold"/>
              </w:rPr>
            </w:pPr>
            <w:r w:rsidRPr="00244581">
              <w:rPr>
                <w:rStyle w:val="ECCHLbold"/>
              </w:rPr>
              <w:t>Date issued:</w:t>
            </w:r>
          </w:p>
        </w:tc>
        <w:tc>
          <w:tcPr>
            <w:tcW w:w="7962" w:type="dxa"/>
            <w:gridSpan w:val="5"/>
            <w:tcBorders>
              <w:top w:val="nil"/>
              <w:left w:val="nil"/>
              <w:bottom w:val="nil"/>
              <w:right w:val="nil"/>
            </w:tcBorders>
            <w:vAlign w:val="center"/>
          </w:tcPr>
          <w:p w14:paraId="5B51BC13" w14:textId="77777777" w:rsidR="00D57F96" w:rsidRPr="00244581" w:rsidRDefault="00731762" w:rsidP="00790B15">
            <w:pPr>
              <w:rPr>
                <w:rStyle w:val="ECCHLbold"/>
              </w:rPr>
            </w:pPr>
            <w:r w:rsidRPr="00244581">
              <w:rPr>
                <w:rStyle w:val="ECCHLbold"/>
              </w:rPr>
              <w:t>8</w:t>
            </w:r>
            <w:r w:rsidRPr="00244581">
              <w:rPr>
                <w:rStyle w:val="ECCHLbold"/>
                <w:vertAlign w:val="superscript"/>
              </w:rPr>
              <w:t>th</w:t>
            </w:r>
            <w:r w:rsidRPr="00244581">
              <w:rPr>
                <w:rStyle w:val="ECCHLbold"/>
              </w:rPr>
              <w:t xml:space="preserve"> </w:t>
            </w:r>
            <w:r w:rsidR="00D57F96" w:rsidRPr="00244581">
              <w:rPr>
                <w:rStyle w:val="ECCHLbold"/>
              </w:rPr>
              <w:t>April 2019</w:t>
            </w:r>
          </w:p>
        </w:tc>
      </w:tr>
      <w:tr w:rsidR="00D57F96" w:rsidRPr="00244581" w14:paraId="0956F0B0" w14:textId="77777777" w:rsidTr="00790B15">
        <w:tblPrEx>
          <w:tblCellMar>
            <w:left w:w="108" w:type="dxa"/>
            <w:right w:w="108" w:type="dxa"/>
          </w:tblCellMar>
        </w:tblPrEx>
        <w:trPr>
          <w:cantSplit/>
          <w:trHeight w:val="405"/>
        </w:trPr>
        <w:tc>
          <w:tcPr>
            <w:tcW w:w="1819" w:type="dxa"/>
            <w:gridSpan w:val="2"/>
            <w:tcBorders>
              <w:top w:val="nil"/>
              <w:left w:val="nil"/>
              <w:bottom w:val="nil"/>
              <w:right w:val="nil"/>
            </w:tcBorders>
            <w:vAlign w:val="center"/>
          </w:tcPr>
          <w:p w14:paraId="14C59F3D" w14:textId="77777777" w:rsidR="00D57F96" w:rsidRPr="00244581" w:rsidRDefault="00D57F96" w:rsidP="00790B15">
            <w:pPr>
              <w:rPr>
                <w:rStyle w:val="ECCHLbold"/>
              </w:rPr>
            </w:pPr>
            <w:r w:rsidRPr="00244581">
              <w:rPr>
                <w:rStyle w:val="ECCHLbold"/>
              </w:rPr>
              <w:t>Source:</w:t>
            </w:r>
          </w:p>
        </w:tc>
        <w:tc>
          <w:tcPr>
            <w:tcW w:w="7962" w:type="dxa"/>
            <w:gridSpan w:val="5"/>
            <w:tcBorders>
              <w:top w:val="nil"/>
              <w:left w:val="nil"/>
              <w:bottom w:val="nil"/>
              <w:right w:val="nil"/>
            </w:tcBorders>
            <w:vAlign w:val="center"/>
          </w:tcPr>
          <w:p w14:paraId="7C7AAD4A" w14:textId="77777777" w:rsidR="00D57F96" w:rsidRPr="00244581" w:rsidRDefault="00D57F96" w:rsidP="00790B15">
            <w:pPr>
              <w:rPr>
                <w:rStyle w:val="ECCHLbold"/>
              </w:rPr>
            </w:pPr>
            <w:r w:rsidRPr="00244581">
              <w:rPr>
                <w:rStyle w:val="ECCHLbold"/>
              </w:rPr>
              <w:t>Communications Regulatory Authority of the Republic of Lithuania (RRT)</w:t>
            </w:r>
          </w:p>
        </w:tc>
      </w:tr>
      <w:tr w:rsidR="00D57F96" w:rsidRPr="00244581" w14:paraId="633C078A" w14:textId="77777777" w:rsidTr="00790B15">
        <w:tblPrEx>
          <w:tblCellMar>
            <w:left w:w="108" w:type="dxa"/>
            <w:right w:w="108" w:type="dxa"/>
          </w:tblCellMar>
        </w:tblPrEx>
        <w:trPr>
          <w:cantSplit/>
          <w:trHeight w:val="405"/>
        </w:trPr>
        <w:tc>
          <w:tcPr>
            <w:tcW w:w="1819" w:type="dxa"/>
            <w:gridSpan w:val="2"/>
            <w:tcBorders>
              <w:top w:val="nil"/>
              <w:left w:val="nil"/>
              <w:bottom w:val="nil"/>
              <w:right w:val="nil"/>
            </w:tcBorders>
            <w:vAlign w:val="center"/>
          </w:tcPr>
          <w:p w14:paraId="675C4CB4" w14:textId="77777777" w:rsidR="00D57F96" w:rsidRPr="00244581" w:rsidRDefault="00D57F96" w:rsidP="00790B15">
            <w:pPr>
              <w:rPr>
                <w:rStyle w:val="ECCHLbold"/>
              </w:rPr>
            </w:pPr>
            <w:r w:rsidRPr="00244581">
              <w:rPr>
                <w:rStyle w:val="ECCHLbold"/>
              </w:rPr>
              <w:t>Subject:</w:t>
            </w:r>
          </w:p>
        </w:tc>
        <w:tc>
          <w:tcPr>
            <w:tcW w:w="7962" w:type="dxa"/>
            <w:gridSpan w:val="5"/>
            <w:tcBorders>
              <w:top w:val="nil"/>
              <w:left w:val="nil"/>
              <w:bottom w:val="nil"/>
              <w:right w:val="nil"/>
            </w:tcBorders>
            <w:vAlign w:val="center"/>
          </w:tcPr>
          <w:p w14:paraId="5AF77B24" w14:textId="77777777" w:rsidR="00D57F96" w:rsidRPr="00244581" w:rsidRDefault="000F2CDD" w:rsidP="00790B15">
            <w:pPr>
              <w:rPr>
                <w:rStyle w:val="ECCHLbold"/>
              </w:rPr>
            </w:pPr>
            <w:r w:rsidRPr="00244581">
              <w:rPr>
                <w:rStyle w:val="ECCHLbold"/>
              </w:rPr>
              <w:t xml:space="preserve">WI SE40_34: </w:t>
            </w:r>
            <w:r w:rsidR="00731762" w:rsidRPr="00244581">
              <w:rPr>
                <w:rStyle w:val="ECCHLbold"/>
              </w:rPr>
              <w:t>FSS ES to FS interference analysis</w:t>
            </w:r>
          </w:p>
        </w:tc>
      </w:tr>
      <w:tr w:rsidR="00D57F96" w:rsidRPr="00244581" w14:paraId="69EF4FFD" w14:textId="77777777" w:rsidTr="00790B15">
        <w:tblPrEx>
          <w:tblCellMar>
            <w:left w:w="108" w:type="dxa"/>
            <w:right w:w="108" w:type="dxa"/>
          </w:tblCellMar>
        </w:tblPrEx>
        <w:trPr>
          <w:cantSplit/>
          <w:trHeight w:val="1040"/>
        </w:trPr>
        <w:tc>
          <w:tcPr>
            <w:tcW w:w="9781" w:type="dxa"/>
            <w:gridSpan w:val="7"/>
            <w:tcBorders>
              <w:top w:val="nil"/>
              <w:left w:val="nil"/>
              <w:bottom w:val="nil"/>
              <w:right w:val="nil"/>
            </w:tcBorders>
            <w:vAlign w:val="center"/>
          </w:tcPr>
          <w:p w14:paraId="10FA35D1" w14:textId="77777777" w:rsidR="00D57F96" w:rsidRPr="00244581" w:rsidRDefault="00D57F96" w:rsidP="00790B15">
            <w:r w:rsidRPr="00244581">
              <w:rPr>
                <w:noProof/>
                <w:lang w:eastAsia="fr-FR"/>
              </w:rPr>
              <mc:AlternateContent>
                <mc:Choice Requires="wps">
                  <w:drawing>
                    <wp:anchor distT="0" distB="0" distL="114300" distR="114300" simplePos="0" relativeHeight="251659264" behindDoc="0" locked="1" layoutInCell="0" allowOverlap="1" wp14:anchorId="4D391D51" wp14:editId="23268239">
                      <wp:simplePos x="0" y="0"/>
                      <wp:positionH relativeFrom="column">
                        <wp:posOffset>2718435</wp:posOffset>
                      </wp:positionH>
                      <wp:positionV relativeFrom="paragraph">
                        <wp:posOffset>186690</wp:posOffset>
                      </wp:positionV>
                      <wp:extent cx="457200" cy="269875"/>
                      <wp:effectExtent l="0" t="0" r="19050" b="15875"/>
                      <wp:wrapNone/>
                      <wp:docPr id="2"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14:paraId="61E04D61" w14:textId="77777777" w:rsidR="0020389B" w:rsidRPr="00F45561" w:rsidRDefault="0020389B" w:rsidP="00D57F96">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D391D51" id="_x0000_t202" coordsize="21600,21600" o:spt="202" path="m,l,21600r21600,l21600,xe">
                      <v:stroke joinstyle="miter"/>
                      <v:path gradientshapeok="t" o:connecttype="rect"/>
                    </v:shapetype>
                    <v:shape id="Textfeld 24" o:spid="_x0000_s1026" type="#_x0000_t202" style="position:absolute;left:0;text-align:left;margin-left:214.05pt;margin-top:14.7pt;width:36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" o:allowincell="f">
                      <v:textbox inset="1.2mm,.8mm,1mm,2mm">
                        <w:txbxContent>
                          <w:p w14:paraId="61E04D61" w14:textId="77777777" w:rsidR="0020389B" w:rsidRPr="00F45561" w:rsidRDefault="0020389B" w:rsidP="00D57F96">
                            <w:pPr>
                              <w:pStyle w:val="ECCTabletext"/>
                              <w:jc w:val="center"/>
                              <w:rPr>
                                <w:lang w:val="de-DE"/>
                              </w:rPr>
                            </w:pPr>
                            <w:r>
                              <w:rPr>
                                <w:lang w:val="de-DE"/>
                              </w:rPr>
                              <w:t>N</w:t>
                            </w:r>
                          </w:p>
                        </w:txbxContent>
                      </v:textbox>
                      <w10:anchorlock/>
                    </v:shape>
                  </w:pict>
                </mc:Fallback>
              </mc:AlternateContent>
            </w:r>
            <w:r w:rsidRPr="00244581">
              <w:t>Group membership required to read? (Y/N)</w:t>
            </w:r>
          </w:p>
        </w:tc>
      </w:tr>
      <w:tr w:rsidR="00D57F96" w:rsidRPr="00244581" w14:paraId="57E72D91" w14:textId="77777777" w:rsidTr="00790B15">
        <w:tblPrEx>
          <w:tblCellMar>
            <w:left w:w="108" w:type="dxa"/>
            <w:right w:w="108" w:type="dxa"/>
          </w:tblCellMar>
        </w:tblPrEx>
        <w:trPr>
          <w:cantSplit/>
          <w:trHeight w:hRule="exact" w:val="74"/>
        </w:trPr>
        <w:tc>
          <w:tcPr>
            <w:tcW w:w="9781" w:type="dxa"/>
            <w:gridSpan w:val="7"/>
            <w:tcBorders>
              <w:top w:val="nil"/>
              <w:left w:val="nil"/>
              <w:bottom w:val="single" w:sz="6" w:space="0" w:color="auto"/>
              <w:right w:val="nil"/>
            </w:tcBorders>
            <w:vAlign w:val="center"/>
          </w:tcPr>
          <w:p w14:paraId="1CDC9E8A" w14:textId="77777777" w:rsidR="00D57F96" w:rsidRPr="00244581" w:rsidRDefault="00D57F96" w:rsidP="00790B15"/>
          <w:p w14:paraId="56BAD0C0" w14:textId="77777777" w:rsidR="00D57F96" w:rsidRPr="00244581" w:rsidRDefault="00D57F96" w:rsidP="00790B15"/>
        </w:tc>
      </w:tr>
      <w:tr w:rsidR="00D57F96" w:rsidRPr="00244581" w14:paraId="5BB73A62" w14:textId="77777777" w:rsidTr="00790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7"/>
            <w:tcBorders>
              <w:top w:val="single" w:sz="6" w:space="0" w:color="auto"/>
              <w:left w:val="single" w:sz="6" w:space="0" w:color="auto"/>
              <w:bottom w:val="nil"/>
              <w:right w:val="single" w:sz="6" w:space="0" w:color="auto"/>
            </w:tcBorders>
            <w:vAlign w:val="center"/>
          </w:tcPr>
          <w:p w14:paraId="5ACBE905" w14:textId="77777777" w:rsidR="00D57F96" w:rsidRPr="00244581" w:rsidRDefault="00D57F96" w:rsidP="00790B15">
            <w:pPr>
              <w:rPr>
                <w:rStyle w:val="ECCHLbold"/>
              </w:rPr>
            </w:pPr>
            <w:r w:rsidRPr="00244581">
              <w:rPr>
                <w:rStyle w:val="ECCHLbold"/>
              </w:rPr>
              <w:t>Summary:</w:t>
            </w:r>
          </w:p>
        </w:tc>
      </w:tr>
      <w:tr w:rsidR="00D57F96" w:rsidRPr="00244581" w14:paraId="1BA13304" w14:textId="77777777" w:rsidTr="00790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62"/>
        </w:trPr>
        <w:tc>
          <w:tcPr>
            <w:tcW w:w="9781" w:type="dxa"/>
            <w:gridSpan w:val="7"/>
            <w:tcBorders>
              <w:top w:val="nil"/>
              <w:left w:val="single" w:sz="6" w:space="0" w:color="auto"/>
              <w:bottom w:val="single" w:sz="6" w:space="0" w:color="auto"/>
              <w:right w:val="single" w:sz="6" w:space="0" w:color="auto"/>
            </w:tcBorders>
          </w:tcPr>
          <w:p w14:paraId="1F47AC14" w14:textId="77777777" w:rsidR="00D57F96" w:rsidRPr="00244581" w:rsidRDefault="00D57F96" w:rsidP="00790B15">
            <w:r w:rsidRPr="00244581">
              <w:t xml:space="preserve">This document </w:t>
            </w:r>
            <w:r w:rsidR="00731762" w:rsidRPr="00244581">
              <w:t xml:space="preserve">analyses FSS ES interference to FS point-to-point links </w:t>
            </w:r>
            <w:r w:rsidRPr="00244581">
              <w:t>in the 27.5-29.5 GHz band</w:t>
            </w:r>
            <w:r w:rsidR="00731762" w:rsidRPr="00244581">
              <w:t xml:space="preserve"> based on real case scenario in Vilnius city.</w:t>
            </w:r>
          </w:p>
        </w:tc>
      </w:tr>
      <w:tr w:rsidR="00D57F96" w:rsidRPr="00244581" w14:paraId="2A5419D3" w14:textId="77777777" w:rsidTr="00790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7"/>
            <w:tcBorders>
              <w:top w:val="single" w:sz="6" w:space="0" w:color="auto"/>
              <w:left w:val="single" w:sz="6" w:space="0" w:color="auto"/>
              <w:bottom w:val="nil"/>
              <w:right w:val="single" w:sz="6" w:space="0" w:color="auto"/>
            </w:tcBorders>
            <w:vAlign w:val="center"/>
          </w:tcPr>
          <w:p w14:paraId="122ED954" w14:textId="77777777" w:rsidR="00D57F96" w:rsidRPr="00244581" w:rsidRDefault="00D57F96" w:rsidP="00790B15">
            <w:pPr>
              <w:rPr>
                <w:rStyle w:val="ECCHLbold"/>
              </w:rPr>
            </w:pPr>
            <w:r w:rsidRPr="00244581">
              <w:rPr>
                <w:rStyle w:val="ECCHLbold"/>
              </w:rPr>
              <w:t>Proposal:</w:t>
            </w:r>
          </w:p>
        </w:tc>
      </w:tr>
      <w:tr w:rsidR="00D57F96" w:rsidRPr="00244581" w14:paraId="0949DDDA" w14:textId="77777777" w:rsidTr="00790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59"/>
        </w:trPr>
        <w:tc>
          <w:tcPr>
            <w:tcW w:w="9781" w:type="dxa"/>
            <w:gridSpan w:val="7"/>
            <w:tcBorders>
              <w:top w:val="nil"/>
              <w:left w:val="single" w:sz="6" w:space="0" w:color="auto"/>
              <w:bottom w:val="single" w:sz="6" w:space="0" w:color="auto"/>
              <w:right w:val="single" w:sz="6" w:space="0" w:color="auto"/>
            </w:tcBorders>
          </w:tcPr>
          <w:p w14:paraId="776F70DE" w14:textId="77777777" w:rsidR="00D57F96" w:rsidRPr="00244581" w:rsidRDefault="00D57F96" w:rsidP="00790B15">
            <w:r w:rsidRPr="00244581">
              <w:t xml:space="preserve">SE40 is invited to consider the </w:t>
            </w:r>
            <w:r w:rsidR="00731762" w:rsidRPr="00244581">
              <w:t>this document on FSS ES interference to FS in 28 GHz band.</w:t>
            </w:r>
          </w:p>
        </w:tc>
      </w:tr>
      <w:tr w:rsidR="00D57F96" w:rsidRPr="00244581" w14:paraId="6CDFC19A" w14:textId="77777777" w:rsidTr="00790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7"/>
            <w:tcBorders>
              <w:top w:val="single" w:sz="6" w:space="0" w:color="auto"/>
              <w:left w:val="single" w:sz="6" w:space="0" w:color="auto"/>
              <w:bottom w:val="nil"/>
              <w:right w:val="single" w:sz="6" w:space="0" w:color="auto"/>
            </w:tcBorders>
            <w:vAlign w:val="center"/>
          </w:tcPr>
          <w:p w14:paraId="71D0A891" w14:textId="3193AF0D" w:rsidR="0098042D" w:rsidRPr="00244581" w:rsidRDefault="00D57F96" w:rsidP="00790B15">
            <w:pPr>
              <w:rPr>
                <w:rStyle w:val="ECCHLbold"/>
              </w:rPr>
            </w:pPr>
            <w:r w:rsidRPr="00244581">
              <w:rPr>
                <w:rStyle w:val="ECCHLbold"/>
              </w:rPr>
              <w:t>Background:</w:t>
            </w:r>
          </w:p>
        </w:tc>
      </w:tr>
      <w:tr w:rsidR="00D57F96" w:rsidRPr="00244581" w14:paraId="7C9C6435" w14:textId="77777777" w:rsidTr="00790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98"/>
        </w:trPr>
        <w:tc>
          <w:tcPr>
            <w:tcW w:w="9781" w:type="dxa"/>
            <w:gridSpan w:val="7"/>
            <w:tcBorders>
              <w:top w:val="nil"/>
              <w:left w:val="single" w:sz="6" w:space="0" w:color="auto"/>
              <w:bottom w:val="single" w:sz="6" w:space="0" w:color="auto"/>
              <w:right w:val="single" w:sz="6" w:space="0" w:color="auto"/>
            </w:tcBorders>
          </w:tcPr>
          <w:p w14:paraId="5F1325C2" w14:textId="603FD1D2" w:rsidR="00782160" w:rsidRPr="00244581" w:rsidRDefault="00782160" w:rsidP="00790B15"/>
        </w:tc>
      </w:tr>
    </w:tbl>
    <w:p w14:paraId="16BD3234" w14:textId="77777777" w:rsidR="00D57F96" w:rsidRPr="00244581" w:rsidRDefault="00D57F96" w:rsidP="00D57F96">
      <w:pPr>
        <w:rPr>
          <w:rFonts w:eastAsia="Times New Roman"/>
          <w:sz w:val="24"/>
          <w:szCs w:val="20"/>
        </w:rPr>
      </w:pPr>
      <w:r w:rsidRPr="00244581">
        <w:br w:type="page"/>
      </w:r>
    </w:p>
    <w:p w14:paraId="733BAC8F" w14:textId="77777777" w:rsidR="00CA3F66" w:rsidRPr="00244581" w:rsidRDefault="00D57F96" w:rsidP="00D57F96">
      <w:pPr>
        <w:pStyle w:val="Heading1"/>
        <w:rPr>
          <w:rStyle w:val="ECCHLbold"/>
          <w:lang w:val="en-GB"/>
        </w:rPr>
      </w:pPr>
      <w:r w:rsidRPr="00244581">
        <w:rPr>
          <w:rStyle w:val="ECCHLbold"/>
          <w:lang w:val="en-GB"/>
        </w:rPr>
        <w:lastRenderedPageBreak/>
        <w:t>Electromagnetic Compatibility Analysis of Satellite and Terrestrial Radio Links in the 27.5-29.5 GHz Band</w:t>
      </w:r>
    </w:p>
    <w:p w14:paraId="5357E894" w14:textId="77777777" w:rsidR="002B5E23" w:rsidRPr="00244581" w:rsidRDefault="00D57F96" w:rsidP="002B5E23">
      <w:pPr>
        <w:rPr>
          <w:rStyle w:val="ECCParagraph"/>
        </w:rPr>
      </w:pPr>
      <w:r w:rsidRPr="00244581">
        <w:rPr>
          <w:rStyle w:val="ECCParagraph"/>
        </w:rPr>
        <w:t>This Report studies the feasibility of license-exempt (i.e. not individually coordinated and licensed) FSS ESs operation in 27.5-29.5 GHz band. Currently this band is allocated to FS and FSS according to ECC/DEC(05)01</w:t>
      </w:r>
      <w:r w:rsidR="002B5E23" w:rsidRPr="00244581">
        <w:rPr>
          <w:rStyle w:val="ECCParagraph"/>
        </w:rPr>
        <w:t xml:space="preserve"> Decision</w:t>
      </w:r>
    </w:p>
    <w:p w14:paraId="6E824EB4" w14:textId="77777777" w:rsidR="002B5E23" w:rsidRPr="00244581" w:rsidRDefault="002B5E23" w:rsidP="001923B2">
      <w:pPr>
        <w:pStyle w:val="Heading2"/>
        <w:rPr>
          <w:rStyle w:val="ECCParagraph"/>
          <w:sz w:val="24"/>
        </w:rPr>
      </w:pPr>
      <w:r w:rsidRPr="00244581">
        <w:rPr>
          <w:rStyle w:val="ECCParagraph"/>
          <w:sz w:val="24"/>
        </w:rPr>
        <w:t>Technical FSS ES characteristics and deployment scenario used for electromagnetic compatibility analysis</w:t>
      </w:r>
    </w:p>
    <w:p w14:paraId="18124089" w14:textId="77777777" w:rsidR="005757A3" w:rsidRPr="00244581" w:rsidRDefault="002B5E23" w:rsidP="005757A3">
      <w:r w:rsidRPr="00244581">
        <w:t>This analysis studies FSS ES designed for stationary use for the case of Vilnius city area. There are two types of para</w:t>
      </w:r>
      <w:bookmarkStart w:id="1" w:name="_GoBack"/>
      <w:bookmarkEnd w:id="1"/>
      <w:r w:rsidRPr="00244581">
        <w:t>bolic antenna used in this analysis: 0.75m diameter dedicated to residential usage and 1.8m diameter dedicated to commercial usage.</w:t>
      </w:r>
      <w:r w:rsidR="005A3417" w:rsidRPr="00244581">
        <w:t xml:space="preserve"> The range from 20W to 45E of satellite orbital positions represents the majority of CEPT countries that can be served. For the purpose of compatibility analysis, a set of {-20, 10, 20, 45} values is considered. From orbital positions, listed above, FSS elevation angles fall into interval of [10, 50] degrees for Continental Europe.</w:t>
      </w:r>
    </w:p>
    <w:p w14:paraId="0F42860A" w14:textId="77777777" w:rsidR="005A3417" w:rsidRPr="00244581" w:rsidRDefault="005A3417" w:rsidP="005757A3"/>
    <w:p w14:paraId="061CDEF1" w14:textId="77777777" w:rsidR="005757A3" w:rsidRPr="00244581" w:rsidRDefault="005757A3" w:rsidP="005757A3">
      <w:pPr>
        <w:pStyle w:val="Heading3"/>
        <w:rPr>
          <w:lang w:val="en-GB"/>
        </w:rPr>
      </w:pPr>
      <w:bookmarkStart w:id="2" w:name="_Ref5313349"/>
      <w:r w:rsidRPr="00244581">
        <w:rPr>
          <w:lang w:val="en-GB"/>
        </w:rPr>
        <w:t>FSS ES terminal technical characteristics</w:t>
      </w:r>
      <w:bookmarkEnd w:id="2"/>
    </w:p>
    <w:p w14:paraId="1CA16499" w14:textId="77777777" w:rsidR="001923B2" w:rsidRPr="00244581" w:rsidRDefault="001923B2" w:rsidP="001923B2">
      <w:r w:rsidRPr="00244581">
        <w:fldChar w:fldCharType="begin"/>
      </w:r>
      <w:r w:rsidRPr="00244581">
        <w:instrText xml:space="preserve"> REF _Ref3885247 \h </w:instrText>
      </w:r>
      <w:r w:rsidRPr="00244581">
        <w:fldChar w:fldCharType="separate"/>
      </w:r>
      <w:r w:rsidRPr="00244581">
        <w:t>Table 1</w:t>
      </w:r>
      <w:r w:rsidRPr="00244581">
        <w:fldChar w:fldCharType="end"/>
      </w:r>
      <w:r w:rsidRPr="00244581">
        <w:t xml:space="preserve"> provides FSS ES characteristics used for the FS and FSS compatibility analysis. </w:t>
      </w:r>
    </w:p>
    <w:p w14:paraId="769CF907" w14:textId="77777777" w:rsidR="001923B2" w:rsidRPr="00244581" w:rsidRDefault="001923B2" w:rsidP="001923B2">
      <w:pPr>
        <w:pStyle w:val="Caption"/>
        <w:rPr>
          <w:lang w:val="en-GB"/>
        </w:rPr>
      </w:pPr>
      <w:bookmarkStart w:id="3" w:name="_Ref3885247"/>
      <w:r w:rsidRPr="00244581">
        <w:rPr>
          <w:lang w:val="en-GB"/>
        </w:rPr>
        <w:t xml:space="preserve">Table </w:t>
      </w:r>
      <w:r w:rsidRPr="00244581">
        <w:rPr>
          <w:noProof/>
          <w:lang w:val="en-GB"/>
        </w:rPr>
        <w:fldChar w:fldCharType="begin"/>
      </w:r>
      <w:r w:rsidRPr="00244581">
        <w:rPr>
          <w:noProof/>
          <w:lang w:val="en-GB"/>
        </w:rPr>
        <w:instrText xml:space="preserve"> SEQ Table \* ARABIC </w:instrText>
      </w:r>
      <w:r w:rsidRPr="00244581">
        <w:rPr>
          <w:noProof/>
          <w:lang w:val="en-GB"/>
        </w:rPr>
        <w:fldChar w:fldCharType="separate"/>
      </w:r>
      <w:r w:rsidR="00EC2AD4" w:rsidRPr="00244581">
        <w:rPr>
          <w:noProof/>
          <w:lang w:val="en-GB"/>
        </w:rPr>
        <w:t>1</w:t>
      </w:r>
      <w:r w:rsidRPr="00244581">
        <w:rPr>
          <w:noProof/>
          <w:lang w:val="en-GB"/>
        </w:rPr>
        <w:fldChar w:fldCharType="end"/>
      </w:r>
      <w:bookmarkEnd w:id="3"/>
      <w:r w:rsidRPr="00244581">
        <w:rPr>
          <w:lang w:val="en-GB"/>
        </w:rPr>
        <w:t xml:space="preserve"> FSS ES (user terminal) parameters in the band 27.5-29.5 GHz</w:t>
      </w:r>
    </w:p>
    <w:tbl>
      <w:tblPr>
        <w:tblStyle w:val="ECCTable-redheader"/>
        <w:tblW w:w="8455" w:type="dxa"/>
        <w:tblInd w:w="0" w:type="dxa"/>
        <w:tblLook w:val="04A0" w:firstRow="1" w:lastRow="0" w:firstColumn="1" w:lastColumn="0" w:noHBand="0" w:noVBand="1"/>
      </w:tblPr>
      <w:tblGrid>
        <w:gridCol w:w="2371"/>
        <w:gridCol w:w="2586"/>
        <w:gridCol w:w="3498"/>
      </w:tblGrid>
      <w:tr w:rsidR="001923B2" w:rsidRPr="00244581" w14:paraId="4DC1F4EE" w14:textId="77777777" w:rsidTr="00790B15">
        <w:trPr>
          <w:cnfStyle w:val="100000000000" w:firstRow="1" w:lastRow="0" w:firstColumn="0" w:lastColumn="0" w:oddVBand="0" w:evenVBand="0" w:oddHBand="0" w:evenHBand="0" w:firstRowFirstColumn="0" w:firstRowLastColumn="0" w:lastRowFirstColumn="0" w:lastRowLastColumn="0"/>
          <w:trHeight w:val="692"/>
        </w:trPr>
        <w:tc>
          <w:tcPr>
            <w:tcW w:w="8455" w:type="dxa"/>
            <w:gridSpan w:val="3"/>
            <w:hideMark/>
          </w:tcPr>
          <w:p w14:paraId="7F0A6B43" w14:textId="77777777" w:rsidR="001923B2" w:rsidRPr="00244581" w:rsidRDefault="001923B2" w:rsidP="00790B15">
            <w:pPr>
              <w:pStyle w:val="ECCTableHeaderwhitefont"/>
              <w:rPr>
                <w:rStyle w:val="ECCParagraph"/>
              </w:rPr>
            </w:pPr>
            <w:r w:rsidRPr="00244581">
              <w:rPr>
                <w:rStyle w:val="ECCParagraph"/>
              </w:rPr>
              <w:t>GSO FSS E/S characteristics (user terminal)</w:t>
            </w:r>
          </w:p>
        </w:tc>
      </w:tr>
      <w:tr w:rsidR="001923B2" w:rsidRPr="00244581" w14:paraId="1247168C" w14:textId="77777777" w:rsidTr="00790B15">
        <w:tc>
          <w:tcPr>
            <w:tcW w:w="2371" w:type="dxa"/>
          </w:tcPr>
          <w:p w14:paraId="24DE3796" w14:textId="77777777" w:rsidR="001923B2" w:rsidRPr="00244581" w:rsidRDefault="001923B2" w:rsidP="00790B15">
            <w:pPr>
              <w:pStyle w:val="ECCTabletext"/>
              <w:rPr>
                <w:rStyle w:val="ECCParagraph"/>
              </w:rPr>
            </w:pPr>
          </w:p>
        </w:tc>
        <w:tc>
          <w:tcPr>
            <w:tcW w:w="2586" w:type="dxa"/>
            <w:hideMark/>
          </w:tcPr>
          <w:p w14:paraId="7C074942" w14:textId="77777777" w:rsidR="001923B2" w:rsidRPr="00244581" w:rsidRDefault="001923B2" w:rsidP="00790B15">
            <w:pPr>
              <w:pStyle w:val="ECCTabletext"/>
              <w:rPr>
                <w:rStyle w:val="ECCParagraph"/>
              </w:rPr>
            </w:pPr>
            <w:r w:rsidRPr="00244581">
              <w:rPr>
                <w:rStyle w:val="ECCParagraph"/>
              </w:rPr>
              <w:t>Enterprise Terminal</w:t>
            </w:r>
          </w:p>
        </w:tc>
        <w:tc>
          <w:tcPr>
            <w:tcW w:w="3498" w:type="dxa"/>
            <w:hideMark/>
          </w:tcPr>
          <w:p w14:paraId="3E926C07" w14:textId="77777777" w:rsidR="001923B2" w:rsidRPr="00244581" w:rsidRDefault="001923B2" w:rsidP="00790B15">
            <w:pPr>
              <w:pStyle w:val="ECCTabletext"/>
              <w:rPr>
                <w:rStyle w:val="ECCParagraph"/>
              </w:rPr>
            </w:pPr>
            <w:r w:rsidRPr="00244581">
              <w:rPr>
                <w:rStyle w:val="ECCParagraph"/>
              </w:rPr>
              <w:t>Residential Terminal</w:t>
            </w:r>
          </w:p>
        </w:tc>
      </w:tr>
      <w:tr w:rsidR="001923B2" w:rsidRPr="00244581" w14:paraId="4137E268" w14:textId="77777777" w:rsidTr="00790B15">
        <w:tc>
          <w:tcPr>
            <w:tcW w:w="2371" w:type="dxa"/>
            <w:hideMark/>
          </w:tcPr>
          <w:p w14:paraId="4C38AFB5" w14:textId="77777777" w:rsidR="001923B2" w:rsidRPr="00244581" w:rsidRDefault="001923B2" w:rsidP="00790B15">
            <w:pPr>
              <w:pStyle w:val="ECCTabletext"/>
              <w:rPr>
                <w:rStyle w:val="ECCParagraph"/>
              </w:rPr>
            </w:pPr>
            <w:r w:rsidRPr="00244581">
              <w:rPr>
                <w:rStyle w:val="ECCParagraph"/>
              </w:rPr>
              <w:t>Antenna height</w:t>
            </w:r>
          </w:p>
        </w:tc>
        <w:tc>
          <w:tcPr>
            <w:tcW w:w="2586" w:type="dxa"/>
            <w:hideMark/>
          </w:tcPr>
          <w:p w14:paraId="35B98B18" w14:textId="77777777" w:rsidR="001923B2" w:rsidRPr="00244581" w:rsidRDefault="001923B2" w:rsidP="00790B15">
            <w:pPr>
              <w:pStyle w:val="ECCTabletext"/>
              <w:rPr>
                <w:rStyle w:val="ECCParagraph"/>
              </w:rPr>
            </w:pPr>
            <w:r w:rsidRPr="00244581">
              <w:t>2-30 m uniform distribution</w:t>
            </w:r>
          </w:p>
        </w:tc>
        <w:tc>
          <w:tcPr>
            <w:tcW w:w="3498" w:type="dxa"/>
            <w:hideMark/>
          </w:tcPr>
          <w:p w14:paraId="2A19F77B" w14:textId="763EEAEA" w:rsidR="001923B2" w:rsidRPr="00244581" w:rsidRDefault="001923B2" w:rsidP="00790B15">
            <w:pPr>
              <w:pStyle w:val="ECCTabletext"/>
              <w:rPr>
                <w:rStyle w:val="ECCParagraph"/>
              </w:rPr>
            </w:pPr>
            <w:r w:rsidRPr="00244581">
              <w:t>2-</w:t>
            </w:r>
            <w:r w:rsidR="002E2C16" w:rsidRPr="00244581">
              <w:t>1</w:t>
            </w:r>
            <w:r w:rsidRPr="00244581">
              <w:t>0 m uniform distribution</w:t>
            </w:r>
          </w:p>
        </w:tc>
      </w:tr>
      <w:tr w:rsidR="001923B2" w:rsidRPr="00244581" w14:paraId="3A864000" w14:textId="77777777" w:rsidTr="00790B15">
        <w:tc>
          <w:tcPr>
            <w:tcW w:w="2371" w:type="dxa"/>
            <w:hideMark/>
          </w:tcPr>
          <w:p w14:paraId="17F57684" w14:textId="77777777" w:rsidR="001923B2" w:rsidRPr="00244581" w:rsidRDefault="001923B2" w:rsidP="00790B15">
            <w:pPr>
              <w:pStyle w:val="ECCTabletext"/>
              <w:rPr>
                <w:rStyle w:val="ECCParagraph"/>
              </w:rPr>
            </w:pPr>
            <w:r w:rsidRPr="00244581">
              <w:rPr>
                <w:rStyle w:val="ECCParagraph"/>
              </w:rPr>
              <w:t>Antenna diameter</w:t>
            </w:r>
          </w:p>
        </w:tc>
        <w:tc>
          <w:tcPr>
            <w:tcW w:w="2586" w:type="dxa"/>
            <w:hideMark/>
          </w:tcPr>
          <w:p w14:paraId="3ED06B69" w14:textId="77777777" w:rsidR="001923B2" w:rsidRPr="00244581" w:rsidRDefault="001923B2" w:rsidP="00790B15">
            <w:pPr>
              <w:pStyle w:val="ECCTabletext"/>
              <w:rPr>
                <w:rStyle w:val="ECCParagraph"/>
              </w:rPr>
            </w:pPr>
            <w:r w:rsidRPr="00244581">
              <w:rPr>
                <w:rStyle w:val="ECCParagraph"/>
              </w:rPr>
              <w:t>1.8 m</w:t>
            </w:r>
          </w:p>
        </w:tc>
        <w:tc>
          <w:tcPr>
            <w:tcW w:w="3498" w:type="dxa"/>
            <w:hideMark/>
          </w:tcPr>
          <w:p w14:paraId="5CB58398" w14:textId="77777777" w:rsidR="001923B2" w:rsidRPr="00244581" w:rsidRDefault="001923B2" w:rsidP="00790B15">
            <w:pPr>
              <w:pStyle w:val="ECCTabletext"/>
              <w:rPr>
                <w:rStyle w:val="ECCParagraph"/>
              </w:rPr>
            </w:pPr>
            <w:r w:rsidRPr="00244581">
              <w:rPr>
                <w:rStyle w:val="ECCParagraph"/>
              </w:rPr>
              <w:t>0.75 m</w:t>
            </w:r>
          </w:p>
        </w:tc>
      </w:tr>
      <w:tr w:rsidR="001923B2" w:rsidRPr="00244581" w14:paraId="186F490F" w14:textId="77777777" w:rsidTr="00790B15">
        <w:trPr>
          <w:trHeight w:val="305"/>
        </w:trPr>
        <w:tc>
          <w:tcPr>
            <w:tcW w:w="2371" w:type="dxa"/>
            <w:hideMark/>
          </w:tcPr>
          <w:p w14:paraId="4B521B6A" w14:textId="77777777" w:rsidR="001923B2" w:rsidRPr="00244581" w:rsidRDefault="001923B2" w:rsidP="00790B15">
            <w:pPr>
              <w:pStyle w:val="ECCTabletext"/>
              <w:rPr>
                <w:rStyle w:val="ECCParagraph"/>
              </w:rPr>
            </w:pPr>
            <w:r w:rsidRPr="00244581">
              <w:rPr>
                <w:rStyle w:val="ECCParagraph"/>
              </w:rPr>
              <w:t xml:space="preserve">Antenna pattern </w:t>
            </w:r>
          </w:p>
        </w:tc>
        <w:tc>
          <w:tcPr>
            <w:tcW w:w="2586" w:type="dxa"/>
            <w:hideMark/>
          </w:tcPr>
          <w:p w14:paraId="27F27C10" w14:textId="77777777" w:rsidR="001923B2" w:rsidRPr="00244581" w:rsidRDefault="001923B2" w:rsidP="00790B15">
            <w:pPr>
              <w:pStyle w:val="ECCTabletext"/>
              <w:rPr>
                <w:rStyle w:val="ECCParagraph"/>
              </w:rPr>
            </w:pPr>
            <w:r w:rsidRPr="00244581">
              <w:rPr>
                <w:rStyle w:val="ECCParagraph"/>
              </w:rPr>
              <w:t>ITU S. 465-6</w:t>
            </w:r>
          </w:p>
        </w:tc>
        <w:tc>
          <w:tcPr>
            <w:tcW w:w="3498" w:type="dxa"/>
            <w:hideMark/>
          </w:tcPr>
          <w:p w14:paraId="1C8E4164" w14:textId="77777777" w:rsidR="001923B2" w:rsidRPr="00244581" w:rsidRDefault="001923B2" w:rsidP="00790B15">
            <w:pPr>
              <w:pStyle w:val="ECCTabletext"/>
              <w:rPr>
                <w:rStyle w:val="ECCParagraph"/>
              </w:rPr>
            </w:pPr>
            <w:r w:rsidRPr="00244581">
              <w:rPr>
                <w:rStyle w:val="ECCParagraph"/>
              </w:rPr>
              <w:t>ITU S. 465-6</w:t>
            </w:r>
          </w:p>
        </w:tc>
      </w:tr>
      <w:tr w:rsidR="001923B2" w:rsidRPr="00244581" w14:paraId="606EE2D0" w14:textId="77777777" w:rsidTr="00790B15">
        <w:tc>
          <w:tcPr>
            <w:tcW w:w="2371" w:type="dxa"/>
            <w:hideMark/>
          </w:tcPr>
          <w:p w14:paraId="005292FA" w14:textId="77777777" w:rsidR="001923B2" w:rsidRPr="00244581" w:rsidRDefault="001923B2" w:rsidP="00790B15">
            <w:pPr>
              <w:pStyle w:val="ECCTabletext"/>
              <w:rPr>
                <w:rStyle w:val="ECCParagraph"/>
              </w:rPr>
            </w:pPr>
            <w:r w:rsidRPr="00244581">
              <w:rPr>
                <w:rStyle w:val="ECCParagraph"/>
              </w:rPr>
              <w:t xml:space="preserve">Frequency considered </w:t>
            </w:r>
          </w:p>
        </w:tc>
        <w:tc>
          <w:tcPr>
            <w:tcW w:w="2586" w:type="dxa"/>
            <w:hideMark/>
          </w:tcPr>
          <w:p w14:paraId="7ADD4214" w14:textId="77777777" w:rsidR="001923B2" w:rsidRPr="00244581" w:rsidRDefault="001923B2" w:rsidP="00790B15">
            <w:pPr>
              <w:pStyle w:val="ECCTabletext"/>
              <w:rPr>
                <w:rStyle w:val="ECCParagraph"/>
              </w:rPr>
            </w:pPr>
            <w:r w:rsidRPr="00244581">
              <w:rPr>
                <w:rStyle w:val="ECCParagraph"/>
              </w:rPr>
              <w:t>28.35 GHz</w:t>
            </w:r>
          </w:p>
        </w:tc>
        <w:tc>
          <w:tcPr>
            <w:tcW w:w="3498" w:type="dxa"/>
            <w:hideMark/>
          </w:tcPr>
          <w:p w14:paraId="153D017D" w14:textId="77777777" w:rsidR="001923B2" w:rsidRPr="00244581" w:rsidRDefault="001923B2" w:rsidP="00790B15">
            <w:pPr>
              <w:pStyle w:val="ECCTabletext"/>
              <w:rPr>
                <w:rStyle w:val="ECCParagraph"/>
              </w:rPr>
            </w:pPr>
            <w:r w:rsidRPr="00244581">
              <w:rPr>
                <w:rStyle w:val="ECCParagraph"/>
              </w:rPr>
              <w:t>28.35 GHz</w:t>
            </w:r>
          </w:p>
        </w:tc>
      </w:tr>
      <w:tr w:rsidR="001923B2" w:rsidRPr="00244581" w14:paraId="432F6387" w14:textId="77777777" w:rsidTr="00790B15">
        <w:tc>
          <w:tcPr>
            <w:tcW w:w="2371" w:type="dxa"/>
          </w:tcPr>
          <w:p w14:paraId="19002D91" w14:textId="77777777" w:rsidR="001923B2" w:rsidRPr="00244581" w:rsidRDefault="001923B2" w:rsidP="00790B15">
            <w:pPr>
              <w:pStyle w:val="ECCTabletext"/>
            </w:pPr>
            <w:r w:rsidRPr="00244581">
              <w:t>Higher Range transmit power</w:t>
            </w:r>
          </w:p>
          <w:p w14:paraId="36E0CBA6" w14:textId="77777777" w:rsidR="001923B2" w:rsidRPr="00244581" w:rsidRDefault="001923B2" w:rsidP="00790B15">
            <w:pPr>
              <w:pStyle w:val="ECCTabletext"/>
              <w:rPr>
                <w:rStyle w:val="ECCParagraph"/>
              </w:rPr>
            </w:pPr>
            <w:r w:rsidRPr="00244581">
              <w:t xml:space="preserve">(for MCL) </w:t>
            </w:r>
          </w:p>
        </w:tc>
        <w:tc>
          <w:tcPr>
            <w:tcW w:w="2586" w:type="dxa"/>
          </w:tcPr>
          <w:p w14:paraId="68F16D14" w14:textId="77777777" w:rsidR="001923B2" w:rsidRPr="00244581" w:rsidRDefault="001923B2" w:rsidP="00790B15">
            <w:pPr>
              <w:pStyle w:val="ECCTabletext"/>
              <w:rPr>
                <w:rStyle w:val="ECCParagraph"/>
              </w:rPr>
            </w:pPr>
            <w:r w:rsidRPr="00244581">
              <w:t xml:space="preserve">14.1 </w:t>
            </w:r>
            <w:proofErr w:type="spellStart"/>
            <w:r w:rsidRPr="00244581">
              <w:t>dBW</w:t>
            </w:r>
            <w:proofErr w:type="spellEnd"/>
          </w:p>
        </w:tc>
        <w:tc>
          <w:tcPr>
            <w:tcW w:w="3498" w:type="dxa"/>
          </w:tcPr>
          <w:p w14:paraId="10F286F0" w14:textId="77777777" w:rsidR="001923B2" w:rsidRPr="00244581" w:rsidRDefault="001923B2" w:rsidP="00790B15">
            <w:pPr>
              <w:pStyle w:val="ECCTabletext"/>
              <w:rPr>
                <w:rStyle w:val="ECCParagraph"/>
              </w:rPr>
            </w:pPr>
            <w:r w:rsidRPr="00244581">
              <w:t xml:space="preserve">17.1 </w:t>
            </w:r>
            <w:proofErr w:type="spellStart"/>
            <w:r w:rsidRPr="00244581">
              <w:t>dBW</w:t>
            </w:r>
            <w:proofErr w:type="spellEnd"/>
          </w:p>
        </w:tc>
      </w:tr>
      <w:tr w:rsidR="001923B2" w:rsidRPr="00244581" w14:paraId="22021411" w14:textId="77777777" w:rsidTr="00790B15">
        <w:tc>
          <w:tcPr>
            <w:tcW w:w="2371" w:type="dxa"/>
            <w:hideMark/>
          </w:tcPr>
          <w:p w14:paraId="0C0A10AE" w14:textId="77777777" w:rsidR="001923B2" w:rsidRPr="00244581" w:rsidRDefault="001923B2" w:rsidP="00790B15">
            <w:pPr>
              <w:pStyle w:val="ECCTabletext"/>
              <w:rPr>
                <w:rStyle w:val="ECCParagraph"/>
              </w:rPr>
            </w:pPr>
            <w:r w:rsidRPr="00244581">
              <w:rPr>
                <w:rStyle w:val="ECCParagraph"/>
              </w:rPr>
              <w:t xml:space="preserve">Lower Range transmit power </w:t>
            </w:r>
          </w:p>
        </w:tc>
        <w:tc>
          <w:tcPr>
            <w:tcW w:w="2586" w:type="dxa"/>
            <w:hideMark/>
          </w:tcPr>
          <w:p w14:paraId="792EA67E" w14:textId="77777777" w:rsidR="001923B2" w:rsidRPr="00244581" w:rsidRDefault="001923B2" w:rsidP="00790B15">
            <w:pPr>
              <w:pStyle w:val="ECCTabletext"/>
              <w:rPr>
                <w:rStyle w:val="ECCParagraph"/>
              </w:rPr>
            </w:pPr>
            <w:r w:rsidRPr="00244581">
              <w:rPr>
                <w:rStyle w:val="ECCParagraph"/>
              </w:rPr>
              <w:t xml:space="preserve"> 7.1 </w:t>
            </w:r>
            <w:proofErr w:type="spellStart"/>
            <w:r w:rsidRPr="00244581">
              <w:rPr>
                <w:rStyle w:val="ECCParagraph"/>
              </w:rPr>
              <w:t>dBW</w:t>
            </w:r>
            <w:proofErr w:type="spellEnd"/>
          </w:p>
        </w:tc>
        <w:tc>
          <w:tcPr>
            <w:tcW w:w="3498" w:type="dxa"/>
            <w:hideMark/>
          </w:tcPr>
          <w:p w14:paraId="0DB63453" w14:textId="77777777" w:rsidR="001923B2" w:rsidRPr="00244581" w:rsidRDefault="001923B2" w:rsidP="00790B15">
            <w:pPr>
              <w:pStyle w:val="ECCTabletext"/>
              <w:rPr>
                <w:rStyle w:val="ECCParagraph"/>
              </w:rPr>
            </w:pPr>
            <w:r w:rsidRPr="00244581">
              <w:rPr>
                <w:rStyle w:val="ECCParagraph"/>
              </w:rPr>
              <w:t xml:space="preserve">  9.1 </w:t>
            </w:r>
            <w:proofErr w:type="spellStart"/>
            <w:r w:rsidRPr="00244581">
              <w:rPr>
                <w:rStyle w:val="ECCParagraph"/>
              </w:rPr>
              <w:t>dBW</w:t>
            </w:r>
            <w:proofErr w:type="spellEnd"/>
          </w:p>
        </w:tc>
      </w:tr>
      <w:tr w:rsidR="001923B2" w:rsidRPr="00244581" w14:paraId="5DF9F764" w14:textId="77777777" w:rsidTr="00790B15">
        <w:tc>
          <w:tcPr>
            <w:tcW w:w="2371" w:type="dxa"/>
            <w:hideMark/>
          </w:tcPr>
          <w:p w14:paraId="44C8A7B1" w14:textId="77777777" w:rsidR="001923B2" w:rsidRPr="00244581" w:rsidRDefault="001923B2" w:rsidP="00790B15">
            <w:pPr>
              <w:pStyle w:val="ECCTabletext"/>
              <w:rPr>
                <w:rStyle w:val="ECCParagraph"/>
              </w:rPr>
            </w:pPr>
            <w:r w:rsidRPr="00244581">
              <w:rPr>
                <w:rStyle w:val="ECCParagraph"/>
              </w:rPr>
              <w:t>Range of elevation angles</w:t>
            </w:r>
          </w:p>
        </w:tc>
        <w:tc>
          <w:tcPr>
            <w:tcW w:w="2586" w:type="dxa"/>
            <w:hideMark/>
          </w:tcPr>
          <w:p w14:paraId="60D61122" w14:textId="77777777" w:rsidR="001923B2" w:rsidRPr="00244581" w:rsidRDefault="001923B2" w:rsidP="00790B15">
            <w:pPr>
              <w:pStyle w:val="ECCTabletext"/>
              <w:rPr>
                <w:rStyle w:val="ECCParagraph"/>
              </w:rPr>
            </w:pPr>
            <w:r w:rsidRPr="00244581">
              <w:rPr>
                <w:rStyle w:val="ECCParagraph"/>
              </w:rPr>
              <w:t xml:space="preserve">10 - 50 degrees </w:t>
            </w:r>
          </w:p>
        </w:tc>
        <w:tc>
          <w:tcPr>
            <w:tcW w:w="3498" w:type="dxa"/>
            <w:hideMark/>
          </w:tcPr>
          <w:p w14:paraId="0F5C2B68" w14:textId="77777777" w:rsidR="001923B2" w:rsidRPr="00244581" w:rsidRDefault="001923B2" w:rsidP="00790B15">
            <w:pPr>
              <w:pStyle w:val="ECCTabletext"/>
              <w:rPr>
                <w:rStyle w:val="ECCParagraph"/>
              </w:rPr>
            </w:pPr>
            <w:r w:rsidRPr="00244581">
              <w:rPr>
                <w:rStyle w:val="ECCParagraph"/>
              </w:rPr>
              <w:t>10-50 degrees</w:t>
            </w:r>
          </w:p>
        </w:tc>
      </w:tr>
      <w:tr w:rsidR="001923B2" w:rsidRPr="00244581" w14:paraId="79F76B1D" w14:textId="77777777" w:rsidTr="00790B15">
        <w:tc>
          <w:tcPr>
            <w:tcW w:w="2371" w:type="dxa"/>
            <w:hideMark/>
          </w:tcPr>
          <w:p w14:paraId="5994A386" w14:textId="77777777" w:rsidR="001923B2" w:rsidRPr="00244581" w:rsidRDefault="001923B2" w:rsidP="00790B15">
            <w:pPr>
              <w:pStyle w:val="ECCTabletext"/>
              <w:rPr>
                <w:rStyle w:val="ECCParagraph"/>
              </w:rPr>
            </w:pPr>
            <w:r w:rsidRPr="00244581">
              <w:rPr>
                <w:rStyle w:val="ECCParagraph"/>
              </w:rPr>
              <w:t xml:space="preserve">Max Gain </w:t>
            </w:r>
          </w:p>
        </w:tc>
        <w:tc>
          <w:tcPr>
            <w:tcW w:w="2586" w:type="dxa"/>
            <w:hideMark/>
          </w:tcPr>
          <w:p w14:paraId="3652309C" w14:textId="77777777" w:rsidR="001923B2" w:rsidRPr="00244581" w:rsidRDefault="001923B2" w:rsidP="00790B15">
            <w:pPr>
              <w:pStyle w:val="ECCTabletext"/>
              <w:rPr>
                <w:rStyle w:val="ECCParagraph"/>
              </w:rPr>
            </w:pPr>
            <w:r w:rsidRPr="00244581">
              <w:rPr>
                <w:rStyle w:val="ECCParagraph"/>
              </w:rPr>
              <w:t xml:space="preserve">52.91 </w:t>
            </w:r>
            <w:proofErr w:type="spellStart"/>
            <w:r w:rsidRPr="00244581">
              <w:rPr>
                <w:rStyle w:val="ECCParagraph"/>
              </w:rPr>
              <w:t>dBi</w:t>
            </w:r>
            <w:proofErr w:type="spellEnd"/>
          </w:p>
        </w:tc>
        <w:tc>
          <w:tcPr>
            <w:tcW w:w="3498" w:type="dxa"/>
            <w:hideMark/>
          </w:tcPr>
          <w:p w14:paraId="0A1F9DDA" w14:textId="77777777" w:rsidR="001923B2" w:rsidRPr="00244581" w:rsidRDefault="001923B2" w:rsidP="00790B15">
            <w:pPr>
              <w:pStyle w:val="ECCTabletext"/>
              <w:rPr>
                <w:rStyle w:val="ECCParagraph"/>
              </w:rPr>
            </w:pPr>
            <w:r w:rsidRPr="00244581">
              <w:rPr>
                <w:rStyle w:val="ECCParagraph"/>
              </w:rPr>
              <w:t xml:space="preserve">43.9 </w:t>
            </w:r>
            <w:proofErr w:type="spellStart"/>
            <w:r w:rsidRPr="00244581">
              <w:rPr>
                <w:rStyle w:val="ECCParagraph"/>
              </w:rPr>
              <w:t>dBi</w:t>
            </w:r>
            <w:proofErr w:type="spellEnd"/>
          </w:p>
        </w:tc>
      </w:tr>
      <w:tr w:rsidR="001923B2" w:rsidRPr="00244581" w14:paraId="5A6CD918" w14:textId="77777777" w:rsidTr="00790B15">
        <w:tc>
          <w:tcPr>
            <w:tcW w:w="2371" w:type="dxa"/>
            <w:hideMark/>
          </w:tcPr>
          <w:p w14:paraId="23D53D36" w14:textId="77777777" w:rsidR="001923B2" w:rsidRPr="00244581" w:rsidRDefault="001923B2" w:rsidP="00790B15">
            <w:pPr>
              <w:pStyle w:val="ECCTabletext"/>
              <w:rPr>
                <w:rStyle w:val="ECCParagraph"/>
              </w:rPr>
            </w:pPr>
            <w:r w:rsidRPr="00244581">
              <w:rPr>
                <w:rStyle w:val="ECCParagraph"/>
              </w:rPr>
              <w:t xml:space="preserve">Equivalent bandwidth </w:t>
            </w:r>
          </w:p>
        </w:tc>
        <w:tc>
          <w:tcPr>
            <w:tcW w:w="2586" w:type="dxa"/>
            <w:hideMark/>
          </w:tcPr>
          <w:p w14:paraId="4699F5E4" w14:textId="77777777" w:rsidR="001923B2" w:rsidRPr="00244581" w:rsidRDefault="001923B2" w:rsidP="00790B15">
            <w:pPr>
              <w:pStyle w:val="ECCTabletext"/>
              <w:rPr>
                <w:rStyle w:val="ECCParagraph"/>
              </w:rPr>
            </w:pPr>
            <w:r w:rsidRPr="00244581">
              <w:rPr>
                <w:rStyle w:val="ECCParagraph"/>
              </w:rPr>
              <w:t>320 MHz</w:t>
            </w:r>
          </w:p>
        </w:tc>
        <w:tc>
          <w:tcPr>
            <w:tcW w:w="3498" w:type="dxa"/>
            <w:hideMark/>
          </w:tcPr>
          <w:p w14:paraId="1B7B0B4A" w14:textId="77777777" w:rsidR="001923B2" w:rsidRPr="00244581" w:rsidRDefault="001923B2" w:rsidP="00790B15">
            <w:pPr>
              <w:pStyle w:val="ECCTabletext"/>
              <w:rPr>
                <w:rStyle w:val="ECCParagraph"/>
              </w:rPr>
            </w:pPr>
            <w:r w:rsidRPr="00244581">
              <w:rPr>
                <w:rStyle w:val="ECCParagraph"/>
              </w:rPr>
              <w:t>80/160 MHz</w:t>
            </w:r>
          </w:p>
        </w:tc>
      </w:tr>
      <w:tr w:rsidR="001923B2" w:rsidRPr="00244581" w14:paraId="2199624C" w14:textId="77777777" w:rsidTr="00790B15">
        <w:tc>
          <w:tcPr>
            <w:tcW w:w="2371" w:type="dxa"/>
            <w:hideMark/>
          </w:tcPr>
          <w:p w14:paraId="1CD144F0" w14:textId="77777777" w:rsidR="001923B2" w:rsidRPr="00244581" w:rsidRDefault="001923B2" w:rsidP="00790B15">
            <w:pPr>
              <w:pStyle w:val="ECCTabletext"/>
              <w:rPr>
                <w:rStyle w:val="ECCParagraph"/>
              </w:rPr>
            </w:pPr>
            <w:r w:rsidRPr="00244581">
              <w:rPr>
                <w:rStyle w:val="ECCParagraph"/>
              </w:rPr>
              <w:t xml:space="preserve">Lower Range input power spectral density (PSD) </w:t>
            </w:r>
          </w:p>
        </w:tc>
        <w:tc>
          <w:tcPr>
            <w:tcW w:w="2586" w:type="dxa"/>
            <w:hideMark/>
          </w:tcPr>
          <w:p w14:paraId="234E6F26" w14:textId="77777777" w:rsidR="001923B2" w:rsidRPr="00244581" w:rsidRDefault="001923B2" w:rsidP="00790B15">
            <w:pPr>
              <w:pStyle w:val="ECCTabletext"/>
              <w:rPr>
                <w:rStyle w:val="ECCParagraph"/>
              </w:rPr>
            </w:pPr>
            <w:r w:rsidRPr="00244581">
              <w:rPr>
                <w:rStyle w:val="ECCParagraph"/>
              </w:rPr>
              <w:t xml:space="preserve"> -17.91 dB(W/MHz)</w:t>
            </w:r>
          </w:p>
        </w:tc>
        <w:tc>
          <w:tcPr>
            <w:tcW w:w="3498" w:type="dxa"/>
            <w:hideMark/>
          </w:tcPr>
          <w:p w14:paraId="130AD4FB" w14:textId="77777777" w:rsidR="001923B2" w:rsidRPr="00244581" w:rsidRDefault="001923B2" w:rsidP="00790B15">
            <w:pPr>
              <w:pStyle w:val="ECCTabletext"/>
              <w:rPr>
                <w:rStyle w:val="ECCParagraph"/>
              </w:rPr>
            </w:pPr>
            <w:r w:rsidRPr="00244581">
              <w:rPr>
                <w:rStyle w:val="ECCParagraph"/>
              </w:rPr>
              <w:t>- 12.94 dB(W/MHz)</w:t>
            </w:r>
          </w:p>
        </w:tc>
      </w:tr>
      <w:tr w:rsidR="001923B2" w:rsidRPr="00244581" w14:paraId="378B88D4" w14:textId="77777777" w:rsidTr="00790B15">
        <w:tc>
          <w:tcPr>
            <w:tcW w:w="2371" w:type="dxa"/>
          </w:tcPr>
          <w:p w14:paraId="145CD188" w14:textId="77777777" w:rsidR="001923B2" w:rsidRPr="00244581" w:rsidRDefault="001923B2" w:rsidP="00790B15">
            <w:pPr>
              <w:pStyle w:val="ECCTabletext"/>
              <w:rPr>
                <w:rStyle w:val="ECCParagraph"/>
              </w:rPr>
            </w:pPr>
            <w:r w:rsidRPr="00244581">
              <w:t>Higher range input power spectral density (PSD)</w:t>
            </w:r>
          </w:p>
        </w:tc>
        <w:tc>
          <w:tcPr>
            <w:tcW w:w="2586" w:type="dxa"/>
          </w:tcPr>
          <w:p w14:paraId="47DF12AA" w14:textId="77777777" w:rsidR="001923B2" w:rsidRPr="00244581" w:rsidRDefault="001923B2" w:rsidP="00790B15">
            <w:pPr>
              <w:pStyle w:val="ECCTabletext"/>
              <w:rPr>
                <w:rStyle w:val="ECCParagraph"/>
              </w:rPr>
            </w:pPr>
            <w:r w:rsidRPr="00244581">
              <w:t>-10.92 dB(W/MHz)</w:t>
            </w:r>
          </w:p>
        </w:tc>
        <w:tc>
          <w:tcPr>
            <w:tcW w:w="3498" w:type="dxa"/>
          </w:tcPr>
          <w:p w14:paraId="53DBEFCE" w14:textId="77777777" w:rsidR="001923B2" w:rsidRPr="00244581" w:rsidRDefault="001923B2" w:rsidP="00790B15">
            <w:pPr>
              <w:pStyle w:val="ECCTabletext"/>
              <w:rPr>
                <w:rStyle w:val="ECCParagraph"/>
              </w:rPr>
            </w:pPr>
            <w:r w:rsidRPr="00244581">
              <w:t>-1.93 dB(W/MHz)</w:t>
            </w:r>
          </w:p>
        </w:tc>
      </w:tr>
      <w:tr w:rsidR="001923B2" w:rsidRPr="00244581" w14:paraId="26B6D9C9" w14:textId="77777777" w:rsidTr="00790B15">
        <w:tc>
          <w:tcPr>
            <w:tcW w:w="2371" w:type="dxa"/>
          </w:tcPr>
          <w:p w14:paraId="7F0D026E" w14:textId="77777777" w:rsidR="001923B2" w:rsidRPr="00244581" w:rsidRDefault="001923B2" w:rsidP="00790B15">
            <w:pPr>
              <w:pStyle w:val="ECCTabletext"/>
              <w:rPr>
                <w:rStyle w:val="ECCParagraph"/>
              </w:rPr>
            </w:pPr>
            <w:r w:rsidRPr="00244581">
              <w:rPr>
                <w:rStyle w:val="ECCParagraph"/>
              </w:rPr>
              <w:t>Polarisation</w:t>
            </w:r>
          </w:p>
        </w:tc>
        <w:tc>
          <w:tcPr>
            <w:tcW w:w="2586" w:type="dxa"/>
          </w:tcPr>
          <w:p w14:paraId="312338DD" w14:textId="77777777" w:rsidR="001923B2" w:rsidRPr="00244581" w:rsidRDefault="001923B2" w:rsidP="00790B15">
            <w:pPr>
              <w:pStyle w:val="ECCTabletext"/>
              <w:rPr>
                <w:rStyle w:val="ECCParagraph"/>
              </w:rPr>
            </w:pPr>
            <w:r w:rsidRPr="00244581">
              <w:rPr>
                <w:rStyle w:val="ECCParagraph"/>
              </w:rPr>
              <w:t>Circular</w:t>
            </w:r>
          </w:p>
        </w:tc>
        <w:tc>
          <w:tcPr>
            <w:tcW w:w="3498" w:type="dxa"/>
          </w:tcPr>
          <w:p w14:paraId="2F49365A" w14:textId="77777777" w:rsidR="001923B2" w:rsidRPr="00244581" w:rsidRDefault="001923B2" w:rsidP="00790B15">
            <w:pPr>
              <w:pStyle w:val="ECCTabletext"/>
              <w:rPr>
                <w:rStyle w:val="ECCParagraph"/>
              </w:rPr>
            </w:pPr>
            <w:r w:rsidRPr="00244581">
              <w:rPr>
                <w:rStyle w:val="ECCParagraph"/>
              </w:rPr>
              <w:t>Circular</w:t>
            </w:r>
          </w:p>
        </w:tc>
      </w:tr>
    </w:tbl>
    <w:p w14:paraId="4FCDCB9C" w14:textId="77777777" w:rsidR="001923B2" w:rsidRPr="00244581" w:rsidRDefault="001923B2" w:rsidP="001923B2"/>
    <w:p w14:paraId="2509067A" w14:textId="77777777" w:rsidR="001923B2" w:rsidRPr="00244581" w:rsidRDefault="001923B2" w:rsidP="001923B2">
      <w:r w:rsidRPr="00244581">
        <w:lastRenderedPageBreak/>
        <w:t>For the purpose of this analysis, Recommendation ITU S.465-6 antenna pattern was considered for FSS ES antenna side-lobes. Such antenna pattern is designated to coordination studies and interference analysis between FSS ES and stations of other services sharing the same frequency band. Gain of such antenna is calculated according to the following formula:</w:t>
      </w:r>
    </w:p>
    <w:p w14:paraId="664A31E3" w14:textId="77777777" w:rsidR="001923B2" w:rsidRPr="00244581" w:rsidRDefault="001923B2" w:rsidP="001923B2">
      <m:oMath>
        <m:r>
          <w:rPr>
            <w:rFonts w:ascii="Cambria Math" w:hAnsi="Cambria Math"/>
          </w:rPr>
          <m:t>G</m:t>
        </m:r>
        <m:d>
          <m:dPr>
            <m:ctrlPr>
              <w:rPr>
                <w:rFonts w:ascii="Cambria Math" w:hAnsi="Cambria Math"/>
              </w:rPr>
            </m:ctrlPr>
          </m:dPr>
          <m:e>
            <m:r>
              <w:rPr>
                <w:rFonts w:ascii="Cambria Math" w:hAnsi="Cambria Math"/>
              </w:rPr>
              <m:t>φ</m:t>
            </m:r>
          </m:e>
        </m:d>
        <m:r>
          <w:rPr>
            <w:rFonts w:ascii="Cambria Math" w:hAnsi="Cambria Math"/>
          </w:rPr>
          <m:t>=32-</m:t>
        </m:r>
        <m:func>
          <m:funcPr>
            <m:ctrlPr>
              <w:rPr>
                <w:rFonts w:ascii="Cambria Math" w:hAnsi="Cambria Math"/>
              </w:rPr>
            </m:ctrlPr>
          </m:funcPr>
          <m:fName>
            <m:r>
              <m:rPr>
                <m:sty m:val="p"/>
              </m:rPr>
              <w:rPr>
                <w:rFonts w:ascii="Cambria Math" w:hAnsi="Cambria Math"/>
              </w:rPr>
              <m:t>25log</m:t>
            </m:r>
          </m:fName>
          <m:e>
            <m:r>
              <w:rPr>
                <w:rFonts w:ascii="Cambria Math" w:hAnsi="Cambria Math"/>
              </w:rPr>
              <m:t>φ</m:t>
            </m:r>
          </m:e>
        </m:func>
      </m:oMath>
      <w:r w:rsidRPr="00244581">
        <w:t xml:space="preserve"> [dBi]</w:t>
      </w:r>
      <w:r w:rsidRPr="00244581">
        <w:tab/>
        <w:t xml:space="preserve">for </w:t>
      </w:r>
      <m:oMath>
        <m:sSub>
          <m:sSubPr>
            <m:ctrlPr>
              <w:rPr>
                <w:rFonts w:ascii="Cambria Math" w:hAnsi="Cambria Math"/>
              </w:rPr>
            </m:ctrlPr>
          </m:sSubPr>
          <m:e>
            <m:r>
              <w:rPr>
                <w:rFonts w:ascii="Cambria Math" w:hAnsi="Cambria Math"/>
              </w:rPr>
              <m:t>φ</m:t>
            </m:r>
          </m:e>
          <m:sub>
            <m:r>
              <w:rPr>
                <w:rFonts w:ascii="Cambria Math" w:hAnsi="Cambria Math"/>
              </w:rPr>
              <m:t>min</m:t>
            </m:r>
          </m:sub>
        </m:sSub>
        <m:r>
          <w:rPr>
            <w:rFonts w:ascii="Cambria Math" w:hAnsi="Cambria Math"/>
          </w:rPr>
          <m:t>&lt;φ&lt;48°</m:t>
        </m:r>
      </m:oMath>
    </w:p>
    <w:p w14:paraId="4768BAD0" w14:textId="77777777" w:rsidR="001923B2" w:rsidRPr="00244581" w:rsidRDefault="001923B2" w:rsidP="001923B2">
      <m:oMath>
        <m:r>
          <w:rPr>
            <w:rFonts w:ascii="Cambria Math" w:hAnsi="Cambria Math"/>
          </w:rPr>
          <m:t>G</m:t>
        </m:r>
        <m:d>
          <m:dPr>
            <m:ctrlPr>
              <w:rPr>
                <w:rFonts w:ascii="Cambria Math" w:hAnsi="Cambria Math"/>
              </w:rPr>
            </m:ctrlPr>
          </m:dPr>
          <m:e>
            <m:r>
              <w:rPr>
                <w:rFonts w:ascii="Cambria Math" w:hAnsi="Cambria Math"/>
              </w:rPr>
              <m:t>φ</m:t>
            </m:r>
          </m:e>
        </m:d>
        <m:r>
          <w:rPr>
            <w:rFonts w:ascii="Cambria Math" w:hAnsi="Cambria Math"/>
          </w:rPr>
          <m:t>=-10</m:t>
        </m:r>
      </m:oMath>
      <w:r w:rsidRPr="00244581">
        <w:t xml:space="preserve"> [dBi]</w:t>
      </w:r>
      <w:r w:rsidRPr="00244581">
        <w:tab/>
      </w:r>
      <w:r w:rsidRPr="00244581">
        <w:tab/>
        <w:t xml:space="preserve">for </w:t>
      </w:r>
      <m:oMath>
        <m:r>
          <w:rPr>
            <w:rFonts w:ascii="Cambria Math" w:hAnsi="Cambria Math"/>
          </w:rPr>
          <m:t>48°&lt;φ&lt;180°</m:t>
        </m:r>
      </m:oMath>
    </w:p>
    <w:p w14:paraId="17D3A63D" w14:textId="77777777" w:rsidR="001923B2" w:rsidRPr="00244581" w:rsidRDefault="001923B2" w:rsidP="001923B2">
      <w:r w:rsidRPr="00244581">
        <w:t>where:</w:t>
      </w:r>
    </w:p>
    <w:p w14:paraId="2D9D427C" w14:textId="77777777" w:rsidR="001923B2" w:rsidRPr="00244581" w:rsidRDefault="00244581" w:rsidP="001923B2">
      <m:oMath>
        <m:sSub>
          <m:sSubPr>
            <m:ctrlPr>
              <w:rPr>
                <w:rFonts w:ascii="Cambria Math" w:hAnsi="Cambria Math"/>
              </w:rPr>
            </m:ctrlPr>
          </m:sSubPr>
          <m:e>
            <m:r>
              <w:rPr>
                <w:rFonts w:ascii="Cambria Math" w:hAnsi="Cambria Math"/>
              </w:rPr>
              <m:t>φ</m:t>
            </m:r>
          </m:e>
          <m:sub>
            <m:r>
              <w:rPr>
                <w:rFonts w:ascii="Cambria Math" w:hAnsi="Cambria Math"/>
              </w:rPr>
              <m:t>min</m:t>
            </m:r>
          </m:sub>
        </m:sSub>
        <m: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max</m:t>
                </m:r>
              </m:e>
              <m:lim/>
            </m:limLow>
          </m:fName>
          <m:e>
            <m:d>
              <m:dPr>
                <m:ctrlPr>
                  <w:rPr>
                    <w:rFonts w:ascii="Cambria Math" w:hAnsi="Cambria Math"/>
                  </w:rPr>
                </m:ctrlPr>
              </m:dPr>
              <m:e>
                <m:r>
                  <w:rPr>
                    <w:rFonts w:ascii="Cambria Math" w:hAnsi="Cambria Math"/>
                  </w:rPr>
                  <m:t>1°,100</m:t>
                </m:r>
                <m:f>
                  <m:fPr>
                    <m:ctrlPr>
                      <w:rPr>
                        <w:rFonts w:ascii="Cambria Math" w:hAnsi="Cambria Math"/>
                      </w:rPr>
                    </m:ctrlPr>
                  </m:fPr>
                  <m:num>
                    <m:r>
                      <w:rPr>
                        <w:rFonts w:ascii="Cambria Math" w:hAnsi="Cambria Math"/>
                      </w:rPr>
                      <m:t>λ</m:t>
                    </m:r>
                  </m:num>
                  <m:den>
                    <m:r>
                      <w:rPr>
                        <w:rFonts w:ascii="Cambria Math" w:hAnsi="Cambria Math"/>
                      </w:rPr>
                      <m:t>D</m:t>
                    </m:r>
                  </m:den>
                </m:f>
              </m:e>
            </m:d>
          </m:e>
        </m:func>
      </m:oMath>
      <w:r w:rsidR="001923B2" w:rsidRPr="00244581">
        <w:t xml:space="preserve"> </w:t>
      </w:r>
      <w:r w:rsidR="001923B2" w:rsidRPr="00244581">
        <w:tab/>
      </w:r>
      <w:r w:rsidR="001923B2" w:rsidRPr="00244581">
        <w:tab/>
        <w:t xml:space="preserve">for </w:t>
      </w:r>
      <m:oMath>
        <m:f>
          <m:fPr>
            <m:ctrlPr>
              <w:rPr>
                <w:rFonts w:ascii="Cambria Math" w:hAnsi="Cambria Math"/>
              </w:rPr>
            </m:ctrlPr>
          </m:fPr>
          <m:num>
            <m:r>
              <w:rPr>
                <w:rFonts w:ascii="Cambria Math" w:hAnsi="Cambria Math"/>
              </w:rPr>
              <m:t>D</m:t>
            </m:r>
          </m:num>
          <m:den>
            <m:r>
              <w:rPr>
                <w:rFonts w:ascii="Cambria Math" w:hAnsi="Cambria Math"/>
              </w:rPr>
              <m:t>λ</m:t>
            </m:r>
          </m:den>
        </m:f>
        <m:r>
          <w:rPr>
            <w:rFonts w:ascii="Cambria Math" w:hAnsi="Cambria Math"/>
          </w:rPr>
          <m:t>≥50</m:t>
        </m:r>
      </m:oMath>
    </w:p>
    <w:p w14:paraId="050C5E1A" w14:textId="77777777" w:rsidR="001923B2" w:rsidRPr="00244581" w:rsidRDefault="00244581" w:rsidP="001923B2">
      <m:oMath>
        <m:sSub>
          <m:sSubPr>
            <m:ctrlPr>
              <w:rPr>
                <w:rFonts w:ascii="Cambria Math" w:hAnsi="Cambria Math"/>
              </w:rPr>
            </m:ctrlPr>
          </m:sSubPr>
          <m:e>
            <m:r>
              <w:rPr>
                <w:rFonts w:ascii="Cambria Math" w:hAnsi="Cambria Math"/>
              </w:rPr>
              <m:t>φ</m:t>
            </m:r>
          </m:e>
          <m:sub>
            <m:r>
              <w:rPr>
                <w:rFonts w:ascii="Cambria Math" w:hAnsi="Cambria Math"/>
              </w:rPr>
              <m:t>min</m:t>
            </m:r>
          </m:sub>
        </m:sSub>
        <m: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max</m:t>
                </m:r>
              </m:e>
              <m:lim/>
            </m:limLow>
          </m:fName>
          <m:e>
            <m:d>
              <m:dPr>
                <m:ctrlPr>
                  <w:rPr>
                    <w:rFonts w:ascii="Cambria Math" w:hAnsi="Cambria Math"/>
                  </w:rPr>
                </m:ctrlPr>
              </m:dPr>
              <m:e>
                <m:r>
                  <w:rPr>
                    <w:rFonts w:ascii="Cambria Math" w:hAnsi="Cambria Math"/>
                  </w:rPr>
                  <m:t>2°,114</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λ</m:t>
                            </m:r>
                          </m:num>
                          <m:den>
                            <m:r>
                              <w:rPr>
                                <w:rFonts w:ascii="Cambria Math" w:hAnsi="Cambria Math"/>
                              </w:rPr>
                              <m:t>D</m:t>
                            </m:r>
                          </m:den>
                        </m:f>
                      </m:e>
                    </m:d>
                  </m:e>
                  <m:sup>
                    <m:r>
                      <w:rPr>
                        <w:rFonts w:ascii="Cambria Math" w:hAnsi="Cambria Math"/>
                      </w:rPr>
                      <m:t>1.09</m:t>
                    </m:r>
                  </m:sup>
                </m:sSup>
              </m:e>
            </m:d>
          </m:e>
        </m:func>
      </m:oMath>
      <w:r w:rsidR="001923B2" w:rsidRPr="00244581">
        <w:tab/>
        <w:t xml:space="preserve">for  </w:t>
      </w:r>
      <m:oMath>
        <m:f>
          <m:fPr>
            <m:ctrlPr>
              <w:rPr>
                <w:rFonts w:ascii="Cambria Math" w:hAnsi="Cambria Math"/>
              </w:rPr>
            </m:ctrlPr>
          </m:fPr>
          <m:num>
            <m:r>
              <w:rPr>
                <w:rFonts w:ascii="Cambria Math" w:hAnsi="Cambria Math"/>
              </w:rPr>
              <m:t>D</m:t>
            </m:r>
          </m:num>
          <m:den>
            <m:r>
              <w:rPr>
                <w:rFonts w:ascii="Cambria Math" w:hAnsi="Cambria Math"/>
              </w:rPr>
              <m:t>λ</m:t>
            </m:r>
          </m:den>
        </m:f>
        <m:r>
          <w:rPr>
            <w:rFonts w:ascii="Cambria Math" w:hAnsi="Cambria Math"/>
          </w:rPr>
          <m:t>&lt;50</m:t>
        </m:r>
      </m:oMath>
    </w:p>
    <w:p w14:paraId="4682B0C2" w14:textId="77777777" w:rsidR="001923B2" w:rsidRPr="00244581" w:rsidRDefault="00244581" w:rsidP="001923B2">
      <m:oMath>
        <m:sSub>
          <m:sSubPr>
            <m:ctrlPr>
              <w:rPr>
                <w:rFonts w:ascii="Cambria Math" w:hAnsi="Cambria Math"/>
              </w:rPr>
            </m:ctrlPr>
          </m:sSubPr>
          <m:e>
            <m:r>
              <w:rPr>
                <w:rFonts w:ascii="Cambria Math" w:hAnsi="Cambria Math"/>
              </w:rPr>
              <m:t>φ</m:t>
            </m:r>
          </m:e>
          <m:sub>
            <m:r>
              <w:rPr>
                <w:rFonts w:ascii="Cambria Math" w:hAnsi="Cambria Math"/>
              </w:rPr>
              <m:t>min</m:t>
            </m:r>
          </m:sub>
        </m:sSub>
      </m:oMath>
      <w:r w:rsidR="001923B2" w:rsidRPr="00244581">
        <w:t xml:space="preserve"> is the estimate for the intersection of the main-lobe with the side-lobe gain envelope. In this case:</w:t>
      </w:r>
    </w:p>
    <w:p w14:paraId="1EC3EDDA" w14:textId="77777777" w:rsidR="001923B2" w:rsidRPr="00244581" w:rsidRDefault="00244581" w:rsidP="001923B2">
      <m:oMath>
        <m:f>
          <m:fPr>
            <m:ctrlPr>
              <w:rPr>
                <w:rFonts w:ascii="Cambria Math" w:hAnsi="Cambria Math"/>
              </w:rPr>
            </m:ctrlPr>
          </m:fPr>
          <m:num>
            <m:sSub>
              <m:sSubPr>
                <m:ctrlPr>
                  <w:rPr>
                    <w:rFonts w:ascii="Cambria Math" w:hAnsi="Cambria Math"/>
                  </w:rPr>
                </m:ctrlPr>
              </m:sSubPr>
              <m:e>
                <m:r>
                  <w:rPr>
                    <w:rFonts w:ascii="Cambria Math" w:hAnsi="Cambria Math"/>
                  </w:rPr>
                  <m:t>D</m:t>
                </m:r>
              </m:e>
              <m:sub>
                <m:r>
                  <w:rPr>
                    <w:rFonts w:ascii="Cambria Math" w:hAnsi="Cambria Math"/>
                  </w:rPr>
                  <m:t>1</m:t>
                </m:r>
              </m:sub>
            </m:sSub>
          </m:num>
          <m:den>
            <m:r>
              <w:rPr>
                <w:rFonts w:ascii="Cambria Math" w:hAnsi="Cambria Math"/>
              </w:rPr>
              <m:t>λ</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D</m:t>
                </m:r>
              </m:e>
              <m:sub>
                <m:r>
                  <w:rPr>
                    <w:rFonts w:ascii="Cambria Math" w:hAnsi="Cambria Math"/>
                  </w:rPr>
                  <m:t>1</m:t>
                </m:r>
              </m:sub>
            </m:sSub>
            <m:r>
              <w:rPr>
                <w:rFonts w:ascii="Cambria Math" w:hAnsi="Cambria Math"/>
              </w:rPr>
              <m:t>f</m:t>
            </m:r>
          </m:num>
          <m:den>
            <m:r>
              <w:rPr>
                <w:rFonts w:ascii="Cambria Math" w:hAnsi="Cambria Math"/>
              </w:rPr>
              <m:t>c</m:t>
            </m:r>
          </m:den>
        </m:f>
        <m:r>
          <w:rPr>
            <w:rFonts w:ascii="Cambria Math" w:hAnsi="Cambria Math"/>
          </w:rPr>
          <m:t>=</m:t>
        </m:r>
        <m:f>
          <m:fPr>
            <m:ctrlPr>
              <w:rPr>
                <w:rFonts w:ascii="Cambria Math" w:hAnsi="Cambria Math"/>
              </w:rPr>
            </m:ctrlPr>
          </m:fPr>
          <m:num>
            <m:r>
              <w:rPr>
                <w:rFonts w:ascii="Cambria Math" w:hAnsi="Cambria Math"/>
              </w:rPr>
              <m:t>1.80∙28.35∙</m:t>
            </m:r>
            <m:sSup>
              <m:sSupPr>
                <m:ctrlPr>
                  <w:rPr>
                    <w:rFonts w:ascii="Cambria Math" w:hAnsi="Cambria Math"/>
                  </w:rPr>
                </m:ctrlPr>
              </m:sSupPr>
              <m:e>
                <m:r>
                  <w:rPr>
                    <w:rFonts w:ascii="Cambria Math" w:hAnsi="Cambria Math"/>
                  </w:rPr>
                  <m:t>10</m:t>
                </m:r>
              </m:e>
              <m:sup>
                <m:r>
                  <w:rPr>
                    <w:rFonts w:ascii="Cambria Math" w:hAnsi="Cambria Math"/>
                  </w:rPr>
                  <m:t>9</m:t>
                </m:r>
              </m:sup>
            </m:sSup>
          </m:num>
          <m:den>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8</m:t>
                </m:r>
              </m:sup>
            </m:sSup>
          </m:den>
        </m:f>
        <m:r>
          <w:rPr>
            <w:rFonts w:ascii="Cambria Math" w:hAnsi="Cambria Math"/>
          </w:rPr>
          <m:t>=171</m:t>
        </m:r>
      </m:oMath>
      <w:r w:rsidR="001923B2" w:rsidRPr="00244581">
        <w:t xml:space="preserve"> </w:t>
      </w:r>
    </w:p>
    <w:p w14:paraId="5D8882D5" w14:textId="77777777" w:rsidR="001923B2" w:rsidRPr="00244581" w:rsidRDefault="00244581" w:rsidP="001923B2">
      <m:oMath>
        <m:f>
          <m:fPr>
            <m:ctrlPr>
              <w:rPr>
                <w:rFonts w:ascii="Cambria Math" w:hAnsi="Cambria Math"/>
              </w:rPr>
            </m:ctrlPr>
          </m:fPr>
          <m:num>
            <m:sSub>
              <m:sSubPr>
                <m:ctrlPr>
                  <w:rPr>
                    <w:rFonts w:ascii="Cambria Math" w:hAnsi="Cambria Math"/>
                  </w:rPr>
                </m:ctrlPr>
              </m:sSubPr>
              <m:e>
                <m:r>
                  <w:rPr>
                    <w:rFonts w:ascii="Cambria Math" w:hAnsi="Cambria Math"/>
                  </w:rPr>
                  <m:t>D</m:t>
                </m:r>
              </m:e>
              <m:sub>
                <m:r>
                  <w:rPr>
                    <w:rFonts w:ascii="Cambria Math" w:hAnsi="Cambria Math"/>
                  </w:rPr>
                  <m:t>1</m:t>
                </m:r>
              </m:sub>
            </m:sSub>
          </m:num>
          <m:den>
            <m:r>
              <w:rPr>
                <w:rFonts w:ascii="Cambria Math" w:hAnsi="Cambria Math"/>
              </w:rPr>
              <m:t>λ</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D</m:t>
                </m:r>
              </m:e>
              <m:sub>
                <m:r>
                  <w:rPr>
                    <w:rFonts w:ascii="Cambria Math" w:hAnsi="Cambria Math"/>
                  </w:rPr>
                  <m:t>1</m:t>
                </m:r>
              </m:sub>
            </m:sSub>
            <m:r>
              <w:rPr>
                <w:rFonts w:ascii="Cambria Math" w:hAnsi="Cambria Math"/>
              </w:rPr>
              <m:t>f</m:t>
            </m:r>
          </m:num>
          <m:den>
            <m:r>
              <w:rPr>
                <w:rFonts w:ascii="Cambria Math" w:hAnsi="Cambria Math"/>
              </w:rPr>
              <m:t>c</m:t>
            </m:r>
          </m:den>
        </m:f>
        <m:r>
          <w:rPr>
            <w:rFonts w:ascii="Cambria Math" w:hAnsi="Cambria Math"/>
          </w:rPr>
          <m:t>=</m:t>
        </m:r>
        <m:f>
          <m:fPr>
            <m:ctrlPr>
              <w:rPr>
                <w:rFonts w:ascii="Cambria Math" w:hAnsi="Cambria Math"/>
              </w:rPr>
            </m:ctrlPr>
          </m:fPr>
          <m:num>
            <m:r>
              <w:rPr>
                <w:rFonts w:ascii="Cambria Math" w:hAnsi="Cambria Math"/>
              </w:rPr>
              <m:t>0.75∙28.35∙</m:t>
            </m:r>
            <m:sSup>
              <m:sSupPr>
                <m:ctrlPr>
                  <w:rPr>
                    <w:rFonts w:ascii="Cambria Math" w:hAnsi="Cambria Math"/>
                  </w:rPr>
                </m:ctrlPr>
              </m:sSupPr>
              <m:e>
                <m:r>
                  <w:rPr>
                    <w:rFonts w:ascii="Cambria Math" w:hAnsi="Cambria Math"/>
                  </w:rPr>
                  <m:t>10</m:t>
                </m:r>
              </m:e>
              <m:sup>
                <m:r>
                  <w:rPr>
                    <w:rFonts w:ascii="Cambria Math" w:hAnsi="Cambria Math"/>
                  </w:rPr>
                  <m:t>9</m:t>
                </m:r>
              </m:sup>
            </m:sSup>
          </m:num>
          <m:den>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8</m:t>
                </m:r>
              </m:sup>
            </m:sSup>
          </m:den>
        </m:f>
        <m:r>
          <w:rPr>
            <w:rFonts w:ascii="Cambria Math" w:hAnsi="Cambria Math"/>
          </w:rPr>
          <m:t>=71</m:t>
        </m:r>
      </m:oMath>
      <w:r w:rsidR="001923B2" w:rsidRPr="00244581">
        <w:t xml:space="preserve"> </w:t>
      </w:r>
    </w:p>
    <w:p w14:paraId="59101FE3" w14:textId="77777777" w:rsidR="001923B2" w:rsidRPr="00244581" w:rsidRDefault="001923B2" w:rsidP="001923B2">
      <w:r w:rsidRPr="00244581">
        <w:t xml:space="preserve">Thus, </w:t>
      </w:r>
      <m:oMath>
        <m:sSub>
          <m:sSubPr>
            <m:ctrlPr>
              <w:rPr>
                <w:rFonts w:ascii="Cambria Math" w:hAnsi="Cambria Math"/>
                <w:lang w:eastAsia="lt-LT"/>
              </w:rPr>
            </m:ctrlPr>
          </m:sSubPr>
          <m:e>
            <m:r>
              <w:rPr>
                <w:rFonts w:ascii="Cambria Math" w:hAnsi="Cambria Math"/>
              </w:rPr>
              <m:t>φ</m:t>
            </m:r>
          </m:e>
          <m:sub>
            <m:r>
              <w:rPr>
                <w:rFonts w:ascii="Cambria Math" w:hAnsi="Cambria Math"/>
              </w:rPr>
              <m:t>min</m:t>
            </m:r>
          </m:sub>
        </m:sSub>
      </m:oMath>
      <w:r w:rsidRPr="00244581">
        <w:t xml:space="preserve"> for enterprise and residential antennas respectively is:</w:t>
      </w:r>
    </w:p>
    <w:p w14:paraId="5AA420A1" w14:textId="77777777" w:rsidR="001923B2" w:rsidRPr="00244581" w:rsidRDefault="00244581" w:rsidP="001923B2">
      <m:oMath>
        <m:sSub>
          <m:sSubPr>
            <m:ctrlPr>
              <w:rPr>
                <w:rFonts w:ascii="Cambria Math" w:hAnsi="Cambria Math"/>
                <w:lang w:eastAsia="lt-LT"/>
              </w:rPr>
            </m:ctrlPr>
          </m:sSubPr>
          <m:e>
            <m:r>
              <w:rPr>
                <w:rFonts w:ascii="Cambria Math" w:hAnsi="Cambria Math"/>
              </w:rPr>
              <m:t>φ</m:t>
            </m:r>
          </m:e>
          <m:sub>
            <m:r>
              <w:rPr>
                <w:rFonts w:ascii="Cambria Math" w:hAnsi="Cambria Math"/>
              </w:rPr>
              <m:t>min1</m:t>
            </m:r>
          </m:sub>
        </m:sSub>
        <m:r>
          <w:rPr>
            <w:rFonts w:ascii="Cambria Math" w:hAnsi="Cambria Math"/>
          </w:rPr>
          <m:t>=1°</m:t>
        </m:r>
      </m:oMath>
      <w:r w:rsidR="001923B2" w:rsidRPr="00244581">
        <w:t xml:space="preserve"> </w:t>
      </w:r>
    </w:p>
    <w:p w14:paraId="6584A02B" w14:textId="77777777" w:rsidR="001923B2" w:rsidRPr="00244581" w:rsidRDefault="00244581" w:rsidP="001923B2">
      <m:oMath>
        <m:sSub>
          <m:sSubPr>
            <m:ctrlPr>
              <w:rPr>
                <w:rFonts w:ascii="Cambria Math" w:hAnsi="Cambria Math"/>
                <w:lang w:eastAsia="lt-LT"/>
              </w:rPr>
            </m:ctrlPr>
          </m:sSubPr>
          <m:e>
            <m:r>
              <w:rPr>
                <w:rFonts w:ascii="Cambria Math" w:hAnsi="Cambria Math"/>
              </w:rPr>
              <m:t>φ</m:t>
            </m:r>
          </m:e>
          <m:sub>
            <m:r>
              <w:rPr>
                <w:rFonts w:ascii="Cambria Math" w:hAnsi="Cambria Math"/>
              </w:rPr>
              <m:t>min2</m:t>
            </m:r>
          </m:sub>
        </m:sSub>
        <m:r>
          <w:rPr>
            <w:rFonts w:ascii="Cambria Math" w:hAnsi="Cambria Math"/>
          </w:rPr>
          <m:t>=1.4°</m:t>
        </m:r>
      </m:oMath>
      <w:r w:rsidR="001923B2" w:rsidRPr="00244581">
        <w:t xml:space="preserve"> </w:t>
      </w:r>
    </w:p>
    <w:p w14:paraId="2C01901A" w14:textId="77777777" w:rsidR="001923B2" w:rsidRPr="00244581" w:rsidRDefault="001923B2" w:rsidP="001923B2">
      <w:r w:rsidRPr="00244581">
        <w:t>According to ITU-R S.2196 report, main-lobe maximum gain could be approximated by the following formula:</w:t>
      </w:r>
    </w:p>
    <w:p w14:paraId="5302004C" w14:textId="3383AF8A" w:rsidR="001923B2" w:rsidRPr="00244581" w:rsidRDefault="00244581" w:rsidP="001923B2">
      <m:oMath>
        <m:sSub>
          <m:sSubPr>
            <m:ctrlPr>
              <w:rPr>
                <w:rFonts w:ascii="Cambria Math" w:hAnsi="Cambria Math"/>
              </w:rPr>
            </m:ctrlPr>
          </m:sSubPr>
          <m:e>
            <m:r>
              <w:rPr>
                <w:rFonts w:ascii="Cambria Math" w:hAnsi="Cambria Math"/>
              </w:rPr>
              <m:t>G</m:t>
            </m:r>
          </m:e>
          <m:sub/>
        </m:sSub>
        <m:r>
          <w:rPr>
            <w:rFonts w:ascii="Cambria Math" w:hAnsi="Cambria Math"/>
          </w:rPr>
          <m:t>=10</m:t>
        </m:r>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r>
                  <w:rPr>
                    <w:rFonts w:ascii="Cambria Math" w:hAnsi="Cambria Math"/>
                  </w:rPr>
                  <m:t>η</m:t>
                </m:r>
                <m:sSup>
                  <m:sSupPr>
                    <m:ctrlPr>
                      <w:rPr>
                        <w:rFonts w:ascii="Cambria Math" w:hAnsi="Cambria Math"/>
                      </w:rPr>
                    </m:ctrlPr>
                  </m:sSupPr>
                  <m:e>
                    <m:r>
                      <w:rPr>
                        <w:rFonts w:ascii="Cambria Math" w:hAnsi="Cambria Math"/>
                      </w:rPr>
                      <m:t>π</m:t>
                    </m:r>
                  </m:e>
                  <m:sup>
                    <m:r>
                      <w:rPr>
                        <w:rFonts w:ascii="Cambria Math" w:hAnsi="Cambria Math"/>
                      </w:rPr>
                      <m:t>2</m:t>
                    </m:r>
                  </m:sup>
                </m:sSup>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D</m:t>
                            </m:r>
                          </m:num>
                          <m:den>
                            <m:r>
                              <w:rPr>
                                <w:rFonts w:ascii="Cambria Math" w:hAnsi="Cambria Math"/>
                              </w:rPr>
                              <m:t>λ</m:t>
                            </m:r>
                          </m:den>
                        </m:f>
                      </m:e>
                    </m:d>
                  </m:e>
                  <m:sup>
                    <m:r>
                      <w:rPr>
                        <w:rFonts w:ascii="Cambria Math" w:hAnsi="Cambria Math"/>
                      </w:rPr>
                      <m:t>2</m:t>
                    </m:r>
                  </m:sup>
                </m:sSup>
              </m:e>
            </m:d>
          </m:e>
        </m:func>
        <m:r>
          <w:rPr>
            <w:rFonts w:ascii="Cambria Math" w:hAnsi="Cambria Math"/>
          </w:rPr>
          <m:t xml:space="preserve"> </m:t>
        </m:r>
      </m:oMath>
      <w:r w:rsidR="003C5DD2" w:rsidRPr="00244581">
        <w:t>.</w:t>
      </w:r>
    </w:p>
    <w:p w14:paraId="0ED24F0F" w14:textId="77777777" w:rsidR="001923B2" w:rsidRPr="00244581" w:rsidRDefault="001923B2" w:rsidP="001923B2">
      <w:r w:rsidRPr="00244581">
        <w:t xml:space="preserve">Where η is antenna aperture efficiency, which is &lt;1. In this case we used the value of 0.7. </w:t>
      </w:r>
    </w:p>
    <w:p w14:paraId="352FB80F" w14:textId="77777777" w:rsidR="001923B2" w:rsidRPr="00244581" w:rsidRDefault="001923B2" w:rsidP="001923B2">
      <w:r w:rsidRPr="00244581">
        <w:t>The definition of main-lobe could be found in RR Annex 3, Appendix 8. Using this definition and ITU S.465-6 antenna pattern for side-lobes, main-lobe could be modelled using the following formulas:</w:t>
      </w:r>
    </w:p>
    <w:p w14:paraId="02B4E77A" w14:textId="77777777" w:rsidR="001923B2" w:rsidRPr="00244581" w:rsidRDefault="001923B2" w:rsidP="001923B2">
      <m:oMath>
        <m:r>
          <w:rPr>
            <w:rFonts w:ascii="Cambria Math" w:hAnsi="Cambria Math"/>
          </w:rPr>
          <m:t>G</m:t>
        </m:r>
        <m:d>
          <m:dPr>
            <m:ctrlPr>
              <w:rPr>
                <w:rFonts w:ascii="Cambria Math" w:hAnsi="Cambria Math"/>
              </w:rPr>
            </m:ctrlPr>
          </m:dPr>
          <m:e>
            <m:r>
              <w:rPr>
                <w:rFonts w:ascii="Cambria Math" w:hAnsi="Cambria Math"/>
              </w:rPr>
              <m:t>φ</m:t>
            </m:r>
          </m:e>
        </m:d>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max</m:t>
            </m:r>
          </m:sub>
        </m:sSub>
        <m:r>
          <w:rPr>
            <w:rFonts w:ascii="Cambria Math" w:hAnsi="Cambria Math"/>
          </w:rPr>
          <m:t>-0.0025</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Dφ</m:t>
                    </m:r>
                  </m:num>
                  <m:den>
                    <m:r>
                      <w:rPr>
                        <w:rFonts w:ascii="Cambria Math" w:hAnsi="Cambria Math"/>
                      </w:rPr>
                      <m:t>λ</m:t>
                    </m:r>
                  </m:den>
                </m:f>
              </m:e>
            </m:d>
          </m:e>
          <m:sup>
            <m:r>
              <w:rPr>
                <w:rFonts w:ascii="Cambria Math" w:hAnsi="Cambria Math"/>
              </w:rPr>
              <m:t>2</m:t>
            </m:r>
          </m:sup>
        </m:sSup>
      </m:oMath>
      <w:r w:rsidRPr="00244581">
        <w:t xml:space="preserve"> </w:t>
      </w:r>
      <w:r w:rsidRPr="00244581">
        <w:tab/>
        <w:t xml:space="preserve">for </w:t>
      </w:r>
      <m:oMath>
        <m:r>
          <w:rPr>
            <w:rFonts w:ascii="Cambria Math" w:hAnsi="Cambria Math"/>
          </w:rPr>
          <m:t>0°&lt;φ&lt;</m:t>
        </m:r>
        <m:sSub>
          <m:sSubPr>
            <m:ctrlPr>
              <w:rPr>
                <w:rFonts w:ascii="Cambria Math" w:hAnsi="Cambria Math"/>
                <w:lang w:eastAsia="lt-LT"/>
              </w:rPr>
            </m:ctrlPr>
          </m:sSubPr>
          <m:e>
            <m:r>
              <w:rPr>
                <w:rFonts w:ascii="Cambria Math" w:hAnsi="Cambria Math"/>
              </w:rPr>
              <m:t>φ</m:t>
            </m:r>
          </m:e>
          <m:sub>
            <m:r>
              <w:rPr>
                <w:rFonts w:ascii="Cambria Math" w:hAnsi="Cambria Math"/>
              </w:rPr>
              <m:t>m</m:t>
            </m:r>
          </m:sub>
        </m:sSub>
      </m:oMath>
    </w:p>
    <w:p w14:paraId="7120E67E" w14:textId="77777777" w:rsidR="001923B2" w:rsidRPr="00244581" w:rsidRDefault="001923B2" w:rsidP="001923B2">
      <m:oMath>
        <m:r>
          <w:rPr>
            <w:rFonts w:ascii="Cambria Math" w:hAnsi="Cambria Math"/>
          </w:rPr>
          <m:t>G</m:t>
        </m:r>
        <m:d>
          <m:dPr>
            <m:ctrlPr>
              <w:rPr>
                <w:rFonts w:ascii="Cambria Math" w:hAnsi="Cambria Math"/>
              </w:rPr>
            </m:ctrlPr>
          </m:dPr>
          <m:e>
            <m:r>
              <w:rPr>
                <w:rFonts w:ascii="Cambria Math" w:hAnsi="Cambria Math"/>
              </w:rPr>
              <m:t>φ</m:t>
            </m:r>
          </m:e>
        </m:d>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1</m:t>
            </m:r>
          </m:sub>
        </m:sSub>
      </m:oMath>
      <w:r w:rsidRPr="00244581">
        <w:t xml:space="preserve"> </w:t>
      </w:r>
      <w:r w:rsidRPr="00244581">
        <w:tab/>
      </w:r>
      <w:r w:rsidRPr="00244581">
        <w:tab/>
      </w:r>
      <w:r w:rsidRPr="00244581">
        <w:tab/>
        <w:t xml:space="preserve">for </w:t>
      </w:r>
      <m:oMath>
        <m:sSub>
          <m:sSubPr>
            <m:ctrlPr>
              <w:rPr>
                <w:rFonts w:ascii="Cambria Math" w:hAnsi="Cambria Math"/>
                <w:lang w:eastAsia="lt-LT"/>
              </w:rPr>
            </m:ctrlPr>
          </m:sSubPr>
          <m:e>
            <m:r>
              <w:rPr>
                <w:rFonts w:ascii="Cambria Math" w:hAnsi="Cambria Math"/>
              </w:rPr>
              <m:t>φ</m:t>
            </m:r>
          </m:e>
          <m:sub>
            <m:r>
              <w:rPr>
                <w:rFonts w:ascii="Cambria Math" w:hAnsi="Cambria Math"/>
              </w:rPr>
              <m:t>m</m:t>
            </m:r>
          </m:sub>
        </m:sSub>
        <m:r>
          <w:rPr>
            <w:rFonts w:ascii="Cambria Math" w:hAnsi="Cambria Math"/>
          </w:rPr>
          <m:t>≤φ≤</m:t>
        </m:r>
        <m:sSub>
          <m:sSubPr>
            <m:ctrlPr>
              <w:rPr>
                <w:rFonts w:ascii="Cambria Math" w:hAnsi="Cambria Math"/>
                <w:lang w:eastAsia="lt-LT"/>
              </w:rPr>
            </m:ctrlPr>
          </m:sSubPr>
          <m:e>
            <m:r>
              <w:rPr>
                <w:rFonts w:ascii="Cambria Math" w:hAnsi="Cambria Math"/>
              </w:rPr>
              <m:t>φ</m:t>
            </m:r>
          </m:e>
          <m:sub>
            <m:r>
              <w:rPr>
                <w:rFonts w:ascii="Cambria Math" w:hAnsi="Cambria Math"/>
              </w:rPr>
              <m:t>p</m:t>
            </m:r>
          </m:sub>
        </m:sSub>
      </m:oMath>
    </w:p>
    <w:p w14:paraId="1637724E" w14:textId="77777777" w:rsidR="001923B2" w:rsidRPr="00244581" w:rsidRDefault="001923B2" w:rsidP="001923B2">
      <w:r w:rsidRPr="00244581">
        <w:t>where:</w:t>
      </w:r>
    </w:p>
    <w:p w14:paraId="6828CE8F" w14:textId="77777777" w:rsidR="001923B2" w:rsidRPr="00244581" w:rsidRDefault="00244581" w:rsidP="001923B2">
      <m:oMath>
        <m:sSub>
          <m:sSubPr>
            <m:ctrlPr>
              <w:rPr>
                <w:rFonts w:ascii="Cambria Math" w:hAnsi="Cambria Math"/>
              </w:rPr>
            </m:ctrlPr>
          </m:sSubPr>
          <m:e>
            <m:r>
              <w:rPr>
                <w:rFonts w:ascii="Cambria Math" w:hAnsi="Cambria Math"/>
              </w:rPr>
              <m:t>G</m:t>
            </m:r>
          </m:e>
          <m:sub>
            <m:r>
              <w:rPr>
                <w:rFonts w:ascii="Cambria Math" w:hAnsi="Cambria Math"/>
              </w:rPr>
              <m:t>1</m:t>
            </m:r>
          </m:sub>
        </m:sSub>
        <m:r>
          <w:rPr>
            <w:rFonts w:ascii="Cambria Math" w:hAnsi="Cambria Math"/>
          </w:rPr>
          <m:t>=2+15</m:t>
        </m:r>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f>
                  <m:fPr>
                    <m:ctrlPr>
                      <w:rPr>
                        <w:rFonts w:ascii="Cambria Math" w:hAnsi="Cambria Math"/>
                      </w:rPr>
                    </m:ctrlPr>
                  </m:fPr>
                  <m:num>
                    <m:r>
                      <w:rPr>
                        <w:rFonts w:ascii="Cambria Math" w:hAnsi="Cambria Math"/>
                      </w:rPr>
                      <m:t>D</m:t>
                    </m:r>
                  </m:num>
                  <m:den>
                    <m:r>
                      <w:rPr>
                        <w:rFonts w:ascii="Cambria Math" w:hAnsi="Cambria Math"/>
                      </w:rPr>
                      <m:t>λ</m:t>
                    </m:r>
                  </m:den>
                </m:f>
              </m:e>
            </m:d>
          </m:e>
        </m:func>
      </m:oMath>
      <w:r w:rsidR="001923B2" w:rsidRPr="00244581">
        <w:t xml:space="preserve"> [dBi]</w:t>
      </w:r>
    </w:p>
    <w:p w14:paraId="008934F2" w14:textId="77777777" w:rsidR="001923B2" w:rsidRPr="00244581" w:rsidRDefault="00244581" w:rsidP="001923B2">
      <m:oMath>
        <m:sSub>
          <m:sSubPr>
            <m:ctrlPr>
              <w:rPr>
                <w:rFonts w:ascii="Cambria Math" w:hAnsi="Cambria Math"/>
                <w:lang w:eastAsia="lt-LT"/>
              </w:rPr>
            </m:ctrlPr>
          </m:sSubPr>
          <m:e>
            <m:r>
              <w:rPr>
                <w:rFonts w:ascii="Cambria Math" w:hAnsi="Cambria Math"/>
              </w:rPr>
              <m:t>φ</m:t>
            </m:r>
          </m:e>
          <m:sub>
            <m:r>
              <w:rPr>
                <w:rFonts w:ascii="Cambria Math" w:hAnsi="Cambria Math"/>
              </w:rPr>
              <m:t>m</m:t>
            </m:r>
          </m:sub>
        </m:sSub>
        <m:r>
          <w:rPr>
            <w:rFonts w:ascii="Cambria Math" w:hAnsi="Cambria Math"/>
          </w:rPr>
          <m:t>=</m:t>
        </m:r>
        <m:f>
          <m:fPr>
            <m:ctrlPr>
              <w:rPr>
                <w:rFonts w:ascii="Cambria Math" w:hAnsi="Cambria Math"/>
                <w:lang w:eastAsia="lt-LT"/>
              </w:rPr>
            </m:ctrlPr>
          </m:fPr>
          <m:num>
            <m:r>
              <w:rPr>
                <w:rFonts w:ascii="Cambria Math" w:hAnsi="Cambria Math"/>
              </w:rPr>
              <m:t>20λ</m:t>
            </m:r>
          </m:num>
          <m:den>
            <m:r>
              <w:rPr>
                <w:rFonts w:ascii="Cambria Math" w:hAnsi="Cambria Math"/>
              </w:rPr>
              <m:t>D</m:t>
            </m:r>
          </m:den>
        </m:f>
        <m:rad>
          <m:radPr>
            <m:degHide m:val="1"/>
            <m:ctrlPr>
              <w:rPr>
                <w:rFonts w:ascii="Cambria Math" w:hAnsi="Cambria Math"/>
                <w:lang w:eastAsia="lt-LT"/>
              </w:rPr>
            </m:ctrlPr>
          </m:radPr>
          <m:deg/>
          <m:e>
            <m:sSub>
              <m:sSubPr>
                <m:ctrlPr>
                  <w:rPr>
                    <w:rFonts w:ascii="Cambria Math" w:hAnsi="Cambria Math"/>
                    <w:lang w:eastAsia="lt-LT"/>
                  </w:rPr>
                </m:ctrlPr>
              </m:sSubPr>
              <m:e>
                <m:r>
                  <w:rPr>
                    <w:rFonts w:ascii="Cambria Math" w:hAnsi="Cambria Math"/>
                  </w:rPr>
                  <m:t>G</m:t>
                </m:r>
              </m:e>
              <m:sub>
                <m:r>
                  <w:rPr>
                    <w:rFonts w:ascii="Cambria Math" w:hAnsi="Cambria Math"/>
                  </w:rPr>
                  <m:t>max</m:t>
                </m:r>
              </m:sub>
            </m:sSub>
            <m:r>
              <w:rPr>
                <w:rFonts w:ascii="Cambria Math" w:hAnsi="Cambria Math"/>
              </w:rPr>
              <m:t>-</m:t>
            </m:r>
            <m:sSub>
              <m:sSubPr>
                <m:ctrlPr>
                  <w:rPr>
                    <w:rFonts w:ascii="Cambria Math" w:hAnsi="Cambria Math"/>
                    <w:lang w:eastAsia="lt-LT"/>
                  </w:rPr>
                </m:ctrlPr>
              </m:sSubPr>
              <m:e>
                <m:r>
                  <w:rPr>
                    <w:rFonts w:ascii="Cambria Math" w:hAnsi="Cambria Math"/>
                  </w:rPr>
                  <m:t>G</m:t>
                </m:r>
              </m:e>
              <m:sub>
                <m:r>
                  <w:rPr>
                    <w:rFonts w:ascii="Cambria Math" w:hAnsi="Cambria Math"/>
                  </w:rPr>
                  <m:t>1</m:t>
                </m:r>
              </m:sub>
            </m:sSub>
          </m:e>
        </m:rad>
      </m:oMath>
      <w:r w:rsidR="001923B2" w:rsidRPr="00244581">
        <w:t xml:space="preserve"> [deg]</w:t>
      </w:r>
    </w:p>
    <w:p w14:paraId="2AC0D818" w14:textId="77777777" w:rsidR="001923B2" w:rsidRPr="00244581" w:rsidRDefault="00244581" w:rsidP="001923B2">
      <m:oMath>
        <m:sSub>
          <m:sSubPr>
            <m:ctrlPr>
              <w:rPr>
                <w:rFonts w:ascii="Cambria Math" w:hAnsi="Cambria Math"/>
                <w:lang w:eastAsia="lt-LT"/>
              </w:rPr>
            </m:ctrlPr>
          </m:sSubPr>
          <m:e>
            <m:r>
              <w:rPr>
                <w:rFonts w:ascii="Cambria Math" w:hAnsi="Cambria Math"/>
              </w:rPr>
              <m:t>φ</m:t>
            </m:r>
          </m:e>
          <m:sub>
            <m:r>
              <w:rPr>
                <w:rFonts w:ascii="Cambria Math" w:hAnsi="Cambria Math"/>
              </w:rPr>
              <m:t>r</m:t>
            </m:r>
          </m:sub>
        </m:sSub>
        <m:r>
          <w:rPr>
            <w:rFonts w:ascii="Cambria Math" w:hAnsi="Cambria Math"/>
          </w:rPr>
          <m:t>=15.85</m:t>
        </m:r>
        <m:sSup>
          <m:sSupPr>
            <m:ctrlPr>
              <w:rPr>
                <w:rFonts w:ascii="Cambria Math" w:hAnsi="Cambria Math"/>
                <w:lang w:eastAsia="lt-LT"/>
              </w:rPr>
            </m:ctrlPr>
          </m:sSupPr>
          <m:e>
            <m:d>
              <m:dPr>
                <m:ctrlPr>
                  <w:rPr>
                    <w:rFonts w:ascii="Cambria Math" w:hAnsi="Cambria Math"/>
                    <w:lang w:eastAsia="lt-LT"/>
                  </w:rPr>
                </m:ctrlPr>
              </m:dPr>
              <m:e>
                <m:f>
                  <m:fPr>
                    <m:ctrlPr>
                      <w:rPr>
                        <w:rFonts w:ascii="Cambria Math" w:hAnsi="Cambria Math"/>
                        <w:lang w:eastAsia="lt-LT"/>
                      </w:rPr>
                    </m:ctrlPr>
                  </m:fPr>
                  <m:num>
                    <m:r>
                      <w:rPr>
                        <w:rFonts w:ascii="Cambria Math" w:hAnsi="Cambria Math"/>
                      </w:rPr>
                      <m:t>λ</m:t>
                    </m:r>
                  </m:num>
                  <m:den>
                    <m:r>
                      <w:rPr>
                        <w:rFonts w:ascii="Cambria Math" w:hAnsi="Cambria Math"/>
                      </w:rPr>
                      <m:t>D</m:t>
                    </m:r>
                  </m:den>
                </m:f>
              </m:e>
            </m:d>
          </m:e>
          <m:sup>
            <m:r>
              <w:rPr>
                <w:rFonts w:ascii="Cambria Math" w:hAnsi="Cambria Math"/>
              </w:rPr>
              <m:t>0.6</m:t>
            </m:r>
          </m:sup>
        </m:sSup>
      </m:oMath>
      <w:r w:rsidR="001923B2" w:rsidRPr="00244581">
        <w:t xml:space="preserve"> [deg]</w:t>
      </w:r>
    </w:p>
    <w:p w14:paraId="432EE2B1" w14:textId="77777777" w:rsidR="001923B2" w:rsidRPr="00244581" w:rsidRDefault="00244581" w:rsidP="001923B2">
      <m:oMath>
        <m:sSub>
          <m:sSubPr>
            <m:ctrlPr>
              <w:rPr>
                <w:rFonts w:ascii="Cambria Math" w:hAnsi="Cambria Math"/>
                <w:lang w:eastAsia="lt-LT"/>
              </w:rPr>
            </m:ctrlPr>
          </m:sSubPr>
          <m:e>
            <m:r>
              <w:rPr>
                <w:rFonts w:ascii="Cambria Math" w:hAnsi="Cambria Math"/>
              </w:rPr>
              <m:t>φ</m:t>
            </m:r>
          </m:e>
          <m:sub>
            <m:r>
              <w:rPr>
                <w:rFonts w:ascii="Cambria Math" w:hAnsi="Cambria Math"/>
              </w:rPr>
              <m:t>p</m:t>
            </m:r>
          </m:sub>
        </m:sSub>
        <m:r>
          <w:rPr>
            <w:rFonts w:ascii="Cambria Math" w:hAnsi="Cambria Math"/>
          </w:rPr>
          <m:t>=</m:t>
        </m:r>
        <m:func>
          <m:funcPr>
            <m:ctrlPr>
              <w:rPr>
                <w:rFonts w:ascii="Cambria Math" w:hAnsi="Cambria Math"/>
                <w:lang w:eastAsia="lt-LT"/>
              </w:rPr>
            </m:ctrlPr>
          </m:funcPr>
          <m:fName>
            <m:limLow>
              <m:limLowPr>
                <m:ctrlPr>
                  <w:rPr>
                    <w:rFonts w:ascii="Cambria Math" w:hAnsi="Cambria Math"/>
                    <w:lang w:eastAsia="lt-LT"/>
                  </w:rPr>
                </m:ctrlPr>
              </m:limLowPr>
              <m:e>
                <m:r>
                  <m:rPr>
                    <m:sty m:val="p"/>
                  </m:rPr>
                  <w:rPr>
                    <w:rFonts w:ascii="Cambria Math" w:hAnsi="Cambria Math"/>
                  </w:rPr>
                  <m:t>max</m:t>
                </m:r>
              </m:e>
              <m:lim/>
            </m:limLow>
          </m:fName>
          <m:e>
            <m:d>
              <m:dPr>
                <m:ctrlPr>
                  <w:rPr>
                    <w:rFonts w:ascii="Cambria Math" w:hAnsi="Cambria Math"/>
                    <w:lang w:eastAsia="lt-LT"/>
                  </w:rPr>
                </m:ctrlPr>
              </m:dPr>
              <m:e>
                <m:sSub>
                  <m:sSubPr>
                    <m:ctrlPr>
                      <w:rPr>
                        <w:rFonts w:ascii="Cambria Math" w:hAnsi="Cambria Math"/>
                        <w:lang w:eastAsia="lt-LT"/>
                      </w:rPr>
                    </m:ctrlPr>
                  </m:sSubPr>
                  <m:e>
                    <m:r>
                      <w:rPr>
                        <w:rFonts w:ascii="Cambria Math" w:hAnsi="Cambria Math"/>
                      </w:rPr>
                      <m:t>φ</m:t>
                    </m:r>
                  </m:e>
                  <m:sub>
                    <m:r>
                      <w:rPr>
                        <w:rFonts w:ascii="Cambria Math" w:hAnsi="Cambria Math"/>
                      </w:rPr>
                      <m:t>r</m:t>
                    </m:r>
                  </m:sub>
                </m:sSub>
                <m:r>
                  <w:rPr>
                    <w:rFonts w:ascii="Cambria Math" w:hAnsi="Cambria Math"/>
                  </w:rPr>
                  <m:t>, 100</m:t>
                </m:r>
                <m:f>
                  <m:fPr>
                    <m:ctrlPr>
                      <w:rPr>
                        <w:rFonts w:ascii="Cambria Math" w:hAnsi="Cambria Math"/>
                        <w:lang w:eastAsia="lt-LT"/>
                      </w:rPr>
                    </m:ctrlPr>
                  </m:fPr>
                  <m:num>
                    <m:r>
                      <w:rPr>
                        <w:rFonts w:ascii="Cambria Math" w:hAnsi="Cambria Math"/>
                      </w:rPr>
                      <m:t>λ</m:t>
                    </m:r>
                  </m:num>
                  <m:den>
                    <m:r>
                      <w:rPr>
                        <w:rFonts w:ascii="Cambria Math" w:hAnsi="Cambria Math"/>
                      </w:rPr>
                      <m:t>D</m:t>
                    </m:r>
                  </m:den>
                </m:f>
              </m:e>
            </m:d>
          </m:e>
        </m:func>
      </m:oMath>
      <w:r w:rsidR="001923B2" w:rsidRPr="00244581">
        <w:t xml:space="preserve"> [deg]</w:t>
      </w:r>
    </w:p>
    <w:p w14:paraId="78BB7AB3" w14:textId="77777777" w:rsidR="001923B2" w:rsidRPr="00244581" w:rsidRDefault="00924B38" w:rsidP="001923B2">
      <w:r w:rsidRPr="00244581">
        <w:rPr>
          <w:noProof/>
          <w:lang w:eastAsia="fr-FR"/>
        </w:rPr>
        <w:lastRenderedPageBreak/>
        <w:drawing>
          <wp:anchor distT="0" distB="0" distL="114300" distR="114300" simplePos="0" relativeHeight="251663360" behindDoc="0" locked="0" layoutInCell="1" allowOverlap="1" wp14:anchorId="175E775D" wp14:editId="1E15D62C">
            <wp:simplePos x="0" y="0"/>
            <wp:positionH relativeFrom="column">
              <wp:posOffset>869950</wp:posOffset>
            </wp:positionH>
            <wp:positionV relativeFrom="paragraph">
              <wp:posOffset>396875</wp:posOffset>
            </wp:positionV>
            <wp:extent cx="4018280" cy="2713355"/>
            <wp:effectExtent l="0" t="0" r="0" b="0"/>
            <wp:wrapTopAndBottom/>
            <wp:docPr id="50" name="Picture 50" descr="C:\Users\rblinovaite\AppData\Local\Microsoft\Windows\INetCache\Content.MSO\F8FDC9C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blinovaite\AppData\Local\Microsoft\Windows\INetCache\Content.MSO\F8FDC9CF.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8280" cy="2713355"/>
                    </a:xfrm>
                    <a:prstGeom prst="rect">
                      <a:avLst/>
                    </a:prstGeom>
                    <a:noFill/>
                    <a:ln>
                      <a:noFill/>
                    </a:ln>
                  </pic:spPr>
                </pic:pic>
              </a:graphicData>
            </a:graphic>
          </wp:anchor>
        </w:drawing>
      </w:r>
      <w:r w:rsidR="001923B2" w:rsidRPr="00244581">
        <w:t xml:space="preserve">Antenna masks for Enterprise and Residential usage are depicted in </w:t>
      </w:r>
      <w:r w:rsidR="001923B2" w:rsidRPr="00244581">
        <w:fldChar w:fldCharType="begin"/>
      </w:r>
      <w:r w:rsidR="001923B2" w:rsidRPr="00244581">
        <w:instrText xml:space="preserve"> REF _Ref3890577 \h </w:instrText>
      </w:r>
      <w:r w:rsidR="001923B2" w:rsidRPr="00244581">
        <w:fldChar w:fldCharType="separate"/>
      </w:r>
      <w:r w:rsidR="001923B2" w:rsidRPr="00244581">
        <w:t>Figure 2</w:t>
      </w:r>
      <w:r w:rsidR="001923B2" w:rsidRPr="00244581">
        <w:fldChar w:fldCharType="end"/>
      </w:r>
      <w:r w:rsidR="001923B2" w:rsidRPr="00244581">
        <w:t xml:space="preserve">. </w:t>
      </w:r>
    </w:p>
    <w:p w14:paraId="4B5F17D1" w14:textId="77777777" w:rsidR="001923B2" w:rsidRPr="00244581" w:rsidRDefault="001923B2" w:rsidP="001923B2"/>
    <w:p w14:paraId="1A219142" w14:textId="77777777" w:rsidR="001923B2" w:rsidRPr="00244581" w:rsidRDefault="001923B2" w:rsidP="001923B2">
      <w:pPr>
        <w:pStyle w:val="Caption"/>
        <w:rPr>
          <w:lang w:val="en-GB"/>
        </w:rPr>
      </w:pPr>
      <w:bookmarkStart w:id="4" w:name="_Ref3890577"/>
      <w:r w:rsidRPr="00244581">
        <w:rPr>
          <w:lang w:val="en-GB"/>
        </w:rPr>
        <w:t xml:space="preserve">Figure </w:t>
      </w:r>
      <w:r w:rsidRPr="00244581">
        <w:rPr>
          <w:lang w:val="en-GB"/>
        </w:rPr>
        <w:fldChar w:fldCharType="begin"/>
      </w:r>
      <w:r w:rsidRPr="00244581">
        <w:rPr>
          <w:lang w:val="en-GB"/>
        </w:rPr>
        <w:instrText xml:space="preserve"> SEQ Figure \* ARABIC </w:instrText>
      </w:r>
      <w:r w:rsidRPr="00244581">
        <w:rPr>
          <w:lang w:val="en-GB"/>
        </w:rPr>
        <w:fldChar w:fldCharType="separate"/>
      </w:r>
      <w:r w:rsidR="0094489B" w:rsidRPr="00244581">
        <w:rPr>
          <w:noProof/>
          <w:lang w:val="en-GB"/>
        </w:rPr>
        <w:t>1</w:t>
      </w:r>
      <w:r w:rsidRPr="00244581">
        <w:rPr>
          <w:noProof/>
          <w:lang w:val="en-GB"/>
        </w:rPr>
        <w:fldChar w:fldCharType="end"/>
      </w:r>
      <w:bookmarkEnd w:id="4"/>
      <w:r w:rsidRPr="00244581">
        <w:rPr>
          <w:lang w:val="en-GB"/>
        </w:rPr>
        <w:t xml:space="preserve"> FSS antenna pattern for different antenna diameters (enterprise and residential)</w:t>
      </w:r>
    </w:p>
    <w:p w14:paraId="14CE4CC6" w14:textId="77777777" w:rsidR="001923B2" w:rsidRPr="00244581" w:rsidRDefault="001923B2" w:rsidP="001923B2">
      <w:r w:rsidRPr="00244581">
        <w:rPr>
          <w:noProof/>
          <w:lang w:eastAsia="fr-FR"/>
        </w:rPr>
        <w:drawing>
          <wp:anchor distT="0" distB="0" distL="114300" distR="114300" simplePos="0" relativeHeight="251664384" behindDoc="0" locked="0" layoutInCell="1" allowOverlap="1" wp14:anchorId="46C60FFB" wp14:editId="375FDA4A">
            <wp:simplePos x="0" y="0"/>
            <wp:positionH relativeFrom="column">
              <wp:posOffset>1270000</wp:posOffset>
            </wp:positionH>
            <wp:positionV relativeFrom="paragraph">
              <wp:posOffset>700405</wp:posOffset>
            </wp:positionV>
            <wp:extent cx="3614420" cy="2533650"/>
            <wp:effectExtent l="0" t="0" r="5080" b="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14420" cy="2533650"/>
                    </a:xfrm>
                    <a:prstGeom prst="rect">
                      <a:avLst/>
                    </a:prstGeom>
                  </pic:spPr>
                </pic:pic>
              </a:graphicData>
            </a:graphic>
            <wp14:sizeRelH relativeFrom="margin">
              <wp14:pctWidth>0</wp14:pctWidth>
            </wp14:sizeRelH>
            <wp14:sizeRelV relativeFrom="margin">
              <wp14:pctHeight>0</wp14:pctHeight>
            </wp14:sizeRelV>
          </wp:anchor>
        </w:drawing>
      </w:r>
      <w:r w:rsidRPr="00244581">
        <w:rPr>
          <w:noProof/>
          <w:lang w:eastAsia="fr-FR"/>
        </w:rPr>
        <mc:AlternateContent>
          <mc:Choice Requires="wps">
            <w:drawing>
              <wp:anchor distT="0" distB="0" distL="114300" distR="114300" simplePos="0" relativeHeight="251662336" behindDoc="0" locked="0" layoutInCell="1" allowOverlap="1" wp14:anchorId="73461502" wp14:editId="62A0DC8B">
                <wp:simplePos x="0" y="0"/>
                <wp:positionH relativeFrom="column">
                  <wp:posOffset>427990</wp:posOffset>
                </wp:positionH>
                <wp:positionV relativeFrom="paragraph">
                  <wp:posOffset>1504315</wp:posOffset>
                </wp:positionV>
                <wp:extent cx="1155065" cy="269875"/>
                <wp:effectExtent l="4445" t="0" r="11430" b="11430"/>
                <wp:wrapTopAndBottom/>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55065" cy="269875"/>
                        </a:xfrm>
                        <a:prstGeom prst="rect">
                          <a:avLst/>
                        </a:prstGeom>
                        <a:solidFill>
                          <a:srgbClr val="FFFFFF"/>
                        </a:solidFill>
                        <a:ln w="9525">
                          <a:solidFill>
                            <a:schemeClr val="bg1"/>
                          </a:solidFill>
                          <a:miter lim="800000"/>
                          <a:headEnd/>
                          <a:tailEnd/>
                        </a:ln>
                      </wps:spPr>
                      <wps:txbx>
                        <w:txbxContent>
                          <w:p w14:paraId="6B39CAF5" w14:textId="77777777" w:rsidR="0020389B" w:rsidRPr="00622801" w:rsidRDefault="0020389B" w:rsidP="001923B2">
                            <w:pPr>
                              <w:rPr>
                                <w:szCs w:val="20"/>
                              </w:rPr>
                            </w:pPr>
                            <w:r>
                              <w:rPr>
                                <w:szCs w:val="20"/>
                              </w:rPr>
                              <w:t>Number of FSS ES</w:t>
                            </w:r>
                          </w:p>
                        </w:txbxContent>
                      </wps:txbx>
                      <wps:bodyPr rot="0" vert="horz" wrap="square" lIns="91440" tIns="45720" rIns="91440" bIns="45720" anchor="t" anchorCtr="0">
                        <a:noAutofit/>
                      </wps:bodyPr>
                    </wps:wsp>
                  </a:graphicData>
                </a:graphic>
              </wp:anchor>
            </w:drawing>
          </mc:Choice>
          <mc:Fallback>
            <w:pict>
              <v:shape w14:anchorId="73461502" id="Text Box 2" o:spid="_x0000_s1027" type="#_x0000_t202" style="position:absolute;left:0;text-align:left;margin-left:33.7pt;margin-top:118.45pt;width:90.95pt;height:21.25pt;rotation:-90;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" strokecolor="white [3212]">
                <v:textbox>
                  <w:txbxContent>
                    <w:p w14:paraId="6B39CAF5" w14:textId="77777777" w:rsidR="0020389B" w:rsidRPr="00622801" w:rsidRDefault="0020389B" w:rsidP="001923B2">
                      <w:pPr>
                        <w:rPr>
                          <w:szCs w:val="20"/>
                        </w:rPr>
                      </w:pPr>
                      <w:r>
                        <w:rPr>
                          <w:szCs w:val="20"/>
                        </w:rPr>
                        <w:t>Number of FSS ES</w:t>
                      </w:r>
                    </w:p>
                  </w:txbxContent>
                </v:textbox>
                <w10:wrap type="topAndBottom"/>
              </v:shape>
            </w:pict>
          </mc:Fallback>
        </mc:AlternateContent>
      </w:r>
      <w:r w:rsidRPr="00244581">
        <w:rPr>
          <w:noProof/>
          <w:lang w:eastAsia="fr-FR"/>
        </w:rPr>
        <mc:AlternateContent>
          <mc:Choice Requires="wps">
            <w:drawing>
              <wp:anchor distT="0" distB="0" distL="114300" distR="114300" simplePos="0" relativeHeight="251661312" behindDoc="0" locked="0" layoutInCell="1" allowOverlap="1" wp14:anchorId="5039B336" wp14:editId="509CFBFA">
                <wp:simplePos x="0" y="0"/>
                <wp:positionH relativeFrom="column">
                  <wp:posOffset>2736850</wp:posOffset>
                </wp:positionH>
                <wp:positionV relativeFrom="paragraph">
                  <wp:posOffset>3074670</wp:posOffset>
                </wp:positionV>
                <wp:extent cx="949960" cy="247650"/>
                <wp:effectExtent l="0" t="0" r="21590" b="19050"/>
                <wp:wrapTopAndBottom/>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247650"/>
                        </a:xfrm>
                        <a:prstGeom prst="rect">
                          <a:avLst/>
                        </a:prstGeom>
                        <a:solidFill>
                          <a:srgbClr val="FFFFFF"/>
                        </a:solidFill>
                        <a:ln w="9525">
                          <a:solidFill>
                            <a:schemeClr val="bg1"/>
                          </a:solidFill>
                          <a:miter lim="800000"/>
                          <a:headEnd/>
                          <a:tailEnd/>
                        </a:ln>
                      </wps:spPr>
                      <wps:txbx>
                        <w:txbxContent>
                          <w:p w14:paraId="6E26141E" w14:textId="77777777" w:rsidR="0020389B" w:rsidRPr="00622801" w:rsidRDefault="0020389B" w:rsidP="001923B2">
                            <w:pPr>
                              <w:rPr>
                                <w:szCs w:val="20"/>
                              </w:rPr>
                            </w:pPr>
                            <w:r w:rsidRPr="00622801">
                              <w:rPr>
                                <w:szCs w:val="20"/>
                              </w:rPr>
                              <w:t>Height (m)</w:t>
                            </w:r>
                          </w:p>
                        </w:txbxContent>
                      </wps:txbx>
                      <wps:bodyPr rot="0" vert="horz" wrap="square" lIns="91440" tIns="45720" rIns="91440" bIns="45720" anchor="t" anchorCtr="0">
                        <a:noAutofit/>
                      </wps:bodyPr>
                    </wps:wsp>
                  </a:graphicData>
                </a:graphic>
              </wp:anchor>
            </w:drawing>
          </mc:Choice>
          <mc:Fallback>
            <w:pict>
              <v:shape w14:anchorId="5039B336" id="_x0000_s1028" type="#_x0000_t202" style="position:absolute;left:0;text-align:left;margin-left:215.5pt;margin-top:242.1pt;width:74.8pt;height:1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" strokecolor="white [3212]">
                <v:textbox>
                  <w:txbxContent>
                    <w:p w14:paraId="6E26141E" w14:textId="77777777" w:rsidR="0020389B" w:rsidRPr="00622801" w:rsidRDefault="0020389B" w:rsidP="001923B2">
                      <w:pPr>
                        <w:rPr>
                          <w:szCs w:val="20"/>
                        </w:rPr>
                      </w:pPr>
                      <w:r w:rsidRPr="00622801">
                        <w:rPr>
                          <w:szCs w:val="20"/>
                        </w:rPr>
                        <w:t>Height (m)</w:t>
                      </w:r>
                    </w:p>
                  </w:txbxContent>
                </v:textbox>
                <w10:wrap type="topAndBottom"/>
              </v:shape>
            </w:pict>
          </mc:Fallback>
        </mc:AlternateContent>
      </w:r>
      <w:r w:rsidRPr="00244581">
        <w:t xml:space="preserve">FSS ES antenna height is generated randomly in the interval of 2-30 m to satisfy the condition, that FSS ES could be deployed in both urban and suburban areas. </w:t>
      </w:r>
      <w:r w:rsidRPr="00244581">
        <w:fldChar w:fldCharType="begin"/>
      </w:r>
      <w:r w:rsidRPr="00244581">
        <w:instrText xml:space="preserve"> REF _Ref4572933 \h </w:instrText>
      </w:r>
      <w:r w:rsidRPr="00244581">
        <w:fldChar w:fldCharType="separate"/>
      </w:r>
      <w:r w:rsidRPr="00244581">
        <w:t>Figure 3</w:t>
      </w:r>
      <w:r w:rsidRPr="00244581">
        <w:fldChar w:fldCharType="end"/>
      </w:r>
      <w:r w:rsidRPr="00244581">
        <w:t xml:space="preserve"> illustrates the statistics of random height assignment.</w:t>
      </w:r>
    </w:p>
    <w:p w14:paraId="4963F975" w14:textId="77777777" w:rsidR="001923B2" w:rsidRPr="00244581" w:rsidRDefault="001923B2" w:rsidP="001923B2">
      <w:pPr>
        <w:pStyle w:val="Caption"/>
        <w:rPr>
          <w:lang w:val="en-GB"/>
        </w:rPr>
      </w:pPr>
      <w:bookmarkStart w:id="5" w:name="_Ref4572933"/>
      <w:r w:rsidRPr="00244581">
        <w:rPr>
          <w:lang w:val="en-GB"/>
        </w:rPr>
        <w:t xml:space="preserve">Figure </w:t>
      </w:r>
      <w:r w:rsidRPr="00244581">
        <w:rPr>
          <w:lang w:val="en-GB"/>
        </w:rPr>
        <w:fldChar w:fldCharType="begin"/>
      </w:r>
      <w:r w:rsidRPr="00244581">
        <w:rPr>
          <w:lang w:val="en-GB"/>
        </w:rPr>
        <w:instrText xml:space="preserve"> SEQ Figure \* ARABIC </w:instrText>
      </w:r>
      <w:r w:rsidRPr="00244581">
        <w:rPr>
          <w:lang w:val="en-GB"/>
        </w:rPr>
        <w:fldChar w:fldCharType="separate"/>
      </w:r>
      <w:r w:rsidR="0094489B" w:rsidRPr="00244581">
        <w:rPr>
          <w:noProof/>
          <w:lang w:val="en-GB"/>
        </w:rPr>
        <w:t>2</w:t>
      </w:r>
      <w:r w:rsidRPr="00244581">
        <w:rPr>
          <w:noProof/>
          <w:lang w:val="en-GB"/>
        </w:rPr>
        <w:fldChar w:fldCharType="end"/>
      </w:r>
      <w:bookmarkEnd w:id="5"/>
      <w:r w:rsidRPr="00244581">
        <w:rPr>
          <w:lang w:val="en-GB"/>
        </w:rPr>
        <w:t xml:space="preserve"> Statistics of random height assignment to FSS ES station</w:t>
      </w:r>
    </w:p>
    <w:p w14:paraId="1B65D9D1" w14:textId="77777777" w:rsidR="001923B2" w:rsidRPr="00244581" w:rsidRDefault="001923B2" w:rsidP="001923B2">
      <w:r w:rsidRPr="00244581">
        <w:t xml:space="preserve">For the purpose of this analysis we used 1 FSS ES for Vilnius city </w:t>
      </w:r>
      <w:r w:rsidR="00BF2981" w:rsidRPr="00244581">
        <w:t>centre</w:t>
      </w:r>
      <w:r w:rsidRPr="00244581">
        <w:t xml:space="preserve"> area (about 63,25 km</w:t>
      </w:r>
      <w:r w:rsidRPr="00244581">
        <w:rPr>
          <w:vertAlign w:val="superscript"/>
        </w:rPr>
        <w:t>2</w:t>
      </w:r>
      <w:r w:rsidRPr="00244581">
        <w:t xml:space="preserve">) for </w:t>
      </w:r>
      <w:r w:rsidR="00BF2981" w:rsidRPr="00244581">
        <w:t>10 000</w:t>
      </w:r>
      <w:r w:rsidRPr="00244581">
        <w:t xml:space="preserve"> Monte Carlo iterations. A square of Vilnius urban area, between the listed points, had been taken into consideration</w:t>
      </w:r>
      <w:r w:rsidR="00BF2981" w:rsidRPr="00244581">
        <w:t xml:space="preserve"> (see </w:t>
      </w:r>
      <w:r w:rsidR="00BF2981" w:rsidRPr="00244581">
        <w:fldChar w:fldCharType="begin"/>
      </w:r>
      <w:r w:rsidR="00BF2981" w:rsidRPr="00244581">
        <w:instrText xml:space="preserve"> REF _Ref3900050 \h </w:instrText>
      </w:r>
      <w:r w:rsidR="00BF2981" w:rsidRPr="00244581">
        <w:fldChar w:fldCharType="separate"/>
      </w:r>
      <w:r w:rsidR="00BF2981" w:rsidRPr="00244581">
        <w:t xml:space="preserve">Figure </w:t>
      </w:r>
      <w:r w:rsidR="00BF2981" w:rsidRPr="00244581">
        <w:rPr>
          <w:noProof/>
        </w:rPr>
        <w:t>3</w:t>
      </w:r>
      <w:r w:rsidR="00BF2981" w:rsidRPr="00244581">
        <w:fldChar w:fldCharType="end"/>
      </w:r>
      <w:r w:rsidR="00BF2981" w:rsidRPr="00244581">
        <w:t>)</w:t>
      </w:r>
      <w:r w:rsidRPr="00244581">
        <w:t>:</w:t>
      </w:r>
    </w:p>
    <w:p w14:paraId="2D61F860" w14:textId="77777777" w:rsidR="001923B2" w:rsidRPr="00244581" w:rsidRDefault="001923B2" w:rsidP="001923B2">
      <w:r w:rsidRPr="00244581">
        <w:t>Point A – (54.65, 25.21);</w:t>
      </w:r>
    </w:p>
    <w:p w14:paraId="22823F5D" w14:textId="77777777" w:rsidR="001923B2" w:rsidRPr="00244581" w:rsidRDefault="001923B2" w:rsidP="001923B2">
      <w:r w:rsidRPr="00244581">
        <w:t>Point B – (54.65, 25.32);</w:t>
      </w:r>
    </w:p>
    <w:p w14:paraId="79C58702" w14:textId="77777777" w:rsidR="001923B2" w:rsidRPr="00244581" w:rsidRDefault="001923B2" w:rsidP="001923B2">
      <w:r w:rsidRPr="00244581">
        <w:lastRenderedPageBreak/>
        <w:t>Point C – (54.73, 25.32);</w:t>
      </w:r>
    </w:p>
    <w:p w14:paraId="29D948B8" w14:textId="77777777" w:rsidR="001923B2" w:rsidRPr="00244581" w:rsidRDefault="001923B2" w:rsidP="001923B2">
      <w:r w:rsidRPr="00244581">
        <w:t>Point D – (54.73, 25.21).</w:t>
      </w:r>
    </w:p>
    <w:p w14:paraId="0FC79164" w14:textId="77777777" w:rsidR="00BF2981" w:rsidRPr="00244581" w:rsidRDefault="00BF2981" w:rsidP="001923B2"/>
    <w:p w14:paraId="762154EF" w14:textId="77777777" w:rsidR="001923B2" w:rsidRPr="00244581" w:rsidRDefault="005757A3" w:rsidP="00190FC1">
      <w:pPr>
        <w:pStyle w:val="Heading3"/>
        <w:rPr>
          <w:lang w:val="en-GB"/>
        </w:rPr>
      </w:pPr>
      <w:r w:rsidRPr="00244581">
        <w:rPr>
          <w:lang w:val="en-GB"/>
        </w:rPr>
        <w:t>FS characteristics considered in analysis</w:t>
      </w:r>
    </w:p>
    <w:p w14:paraId="77C44A15" w14:textId="66210D1B" w:rsidR="005757A3" w:rsidRPr="00244581" w:rsidRDefault="005757A3" w:rsidP="005757A3">
      <w:r w:rsidRPr="00244581">
        <w:t xml:space="preserve">For the purpose of this analysis, we examined FS Radio Relay Links, operating in band 27.5-29.5 GHz in Vilnius city (see </w:t>
      </w:r>
      <w:r w:rsidRPr="00244581">
        <w:fldChar w:fldCharType="begin"/>
      </w:r>
      <w:r w:rsidRPr="00244581">
        <w:instrText xml:space="preserve"> REF _Ref3900050 \h </w:instrText>
      </w:r>
      <w:r w:rsidRPr="00244581">
        <w:fldChar w:fldCharType="separate"/>
      </w:r>
      <w:r w:rsidRPr="00244581">
        <w:t>Figure 6</w:t>
      </w:r>
      <w:r w:rsidRPr="00244581">
        <w:fldChar w:fldCharType="end"/>
      </w:r>
      <w:r w:rsidRPr="00244581">
        <w:t xml:space="preserve">). </w:t>
      </w:r>
      <w:r w:rsidR="00BF2981" w:rsidRPr="00244581">
        <w:t xml:space="preserve">Such area has been selected to investigate FS and FSS compatibility with high FS RRL density </w:t>
      </w:r>
      <w:r w:rsidR="004A4E4B" w:rsidRPr="00244581">
        <w:t xml:space="preserve">taking into account </w:t>
      </w:r>
      <w:r w:rsidR="00BF2981" w:rsidRPr="00244581">
        <w:t xml:space="preserve">real </w:t>
      </w:r>
      <w:r w:rsidR="004A4E4B" w:rsidRPr="00244581">
        <w:t xml:space="preserve">FS </w:t>
      </w:r>
      <w:r w:rsidR="00BF2981" w:rsidRPr="00244581">
        <w:t>characteristics</w:t>
      </w:r>
      <w:r w:rsidRPr="00244581">
        <w:t xml:space="preserve">. Path loss of FS radio link was calculated according to ITU-R P.452-16 recommendation implemented in Python </w:t>
      </w:r>
      <w:proofErr w:type="spellStart"/>
      <w:r w:rsidRPr="00244581">
        <w:t>pycraf</w:t>
      </w:r>
      <w:proofErr w:type="spellEnd"/>
      <w:r w:rsidRPr="00244581">
        <w:t xml:space="preserve"> library.</w:t>
      </w:r>
    </w:p>
    <w:p w14:paraId="405B122C" w14:textId="77777777" w:rsidR="005757A3" w:rsidRPr="00244581" w:rsidRDefault="000B5BB5" w:rsidP="00404AFE">
      <w:pPr>
        <w:jc w:val="left"/>
      </w:pPr>
      <w:r w:rsidRPr="00244581">
        <w:rPr>
          <w:noProof/>
          <w:lang w:eastAsia="fr-FR"/>
        </w:rPr>
        <w:drawing>
          <wp:inline distT="0" distB="0" distL="0" distR="0" wp14:anchorId="317B8C19" wp14:editId="6BBA7299">
            <wp:extent cx="3896615" cy="4993542"/>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908" t="491" r="31991" b="15797"/>
                    <a:stretch/>
                  </pic:blipFill>
                  <pic:spPr bwMode="auto">
                    <a:xfrm>
                      <a:off x="0" y="0"/>
                      <a:ext cx="3897918" cy="4995211"/>
                    </a:xfrm>
                    <a:prstGeom prst="rect">
                      <a:avLst/>
                    </a:prstGeom>
                    <a:noFill/>
                    <a:ln>
                      <a:noFill/>
                    </a:ln>
                    <a:extLst>
                      <a:ext uri="{53640926-AAD7-44D8-BBD7-CCE9431645EC}">
                        <a14:shadowObscured xmlns:a14="http://schemas.microsoft.com/office/drawing/2010/main"/>
                      </a:ext>
                    </a:extLst>
                  </pic:spPr>
                </pic:pic>
              </a:graphicData>
            </a:graphic>
          </wp:inline>
        </w:drawing>
      </w:r>
    </w:p>
    <w:p w14:paraId="00D4F648" w14:textId="77777777" w:rsidR="005757A3" w:rsidRPr="00244581" w:rsidRDefault="005757A3" w:rsidP="005757A3">
      <w:pPr>
        <w:pStyle w:val="Caption"/>
        <w:rPr>
          <w:lang w:val="en-GB"/>
        </w:rPr>
      </w:pPr>
      <w:bookmarkStart w:id="6" w:name="_Ref3900050"/>
      <w:r w:rsidRPr="00244581">
        <w:rPr>
          <w:lang w:val="en-GB"/>
        </w:rPr>
        <w:t xml:space="preserve">Figure </w:t>
      </w:r>
      <w:r w:rsidRPr="00244581">
        <w:rPr>
          <w:noProof/>
          <w:lang w:val="en-GB"/>
        </w:rPr>
        <w:fldChar w:fldCharType="begin"/>
      </w:r>
      <w:r w:rsidRPr="00244581">
        <w:rPr>
          <w:noProof/>
          <w:lang w:val="en-GB"/>
        </w:rPr>
        <w:instrText xml:space="preserve"> SEQ Figure \* ARABIC </w:instrText>
      </w:r>
      <w:r w:rsidRPr="00244581">
        <w:rPr>
          <w:noProof/>
          <w:lang w:val="en-GB"/>
        </w:rPr>
        <w:fldChar w:fldCharType="separate"/>
      </w:r>
      <w:r w:rsidR="0094489B" w:rsidRPr="00244581">
        <w:rPr>
          <w:noProof/>
          <w:lang w:val="en-GB"/>
        </w:rPr>
        <w:t>3</w:t>
      </w:r>
      <w:r w:rsidRPr="00244581">
        <w:rPr>
          <w:noProof/>
          <w:lang w:val="en-GB"/>
        </w:rPr>
        <w:fldChar w:fldCharType="end"/>
      </w:r>
      <w:bookmarkEnd w:id="6"/>
      <w:r w:rsidRPr="00244581">
        <w:rPr>
          <w:lang w:val="en-GB"/>
        </w:rPr>
        <w:t xml:space="preserve"> FS P-P links in Vilnius city (band 27.5-29.5 GHz)</w:t>
      </w:r>
    </w:p>
    <w:p w14:paraId="04F8E8E6" w14:textId="0A681330" w:rsidR="005757A3" w:rsidRPr="00244581" w:rsidRDefault="005757A3" w:rsidP="005757A3">
      <w:r w:rsidRPr="00244581">
        <w:t xml:space="preserve">For the FS antenna we used ITU-R F.699-8 antenna pattern (see </w:t>
      </w:r>
      <w:r w:rsidRPr="00244581">
        <w:fldChar w:fldCharType="begin"/>
      </w:r>
      <w:r w:rsidRPr="00244581">
        <w:instrText xml:space="preserve"> REF _Ref4577766 \h </w:instrText>
      </w:r>
      <w:r w:rsidRPr="00244581">
        <w:fldChar w:fldCharType="separate"/>
      </w:r>
      <w:r w:rsidRPr="00244581">
        <w:t>Figure 7</w:t>
      </w:r>
      <w:r w:rsidRPr="00244581">
        <w:fldChar w:fldCharType="end"/>
      </w:r>
      <w:r w:rsidRPr="00244581">
        <w:t xml:space="preserve">), which is also programmatically implemented in Python </w:t>
      </w:r>
      <w:proofErr w:type="spellStart"/>
      <w:r w:rsidRPr="00244581">
        <w:t>pycraf</w:t>
      </w:r>
      <w:proofErr w:type="spellEnd"/>
      <w:r w:rsidRPr="00244581">
        <w:t xml:space="preserve"> library. </w:t>
      </w:r>
    </w:p>
    <w:p w14:paraId="55B4DF78" w14:textId="16EDDFEE" w:rsidR="002E2C16" w:rsidRPr="00244581" w:rsidRDefault="002E2C16" w:rsidP="005757A3"/>
    <w:p w14:paraId="5C0B70A2" w14:textId="77777777" w:rsidR="005757A3" w:rsidRPr="00244581" w:rsidRDefault="005757A3" w:rsidP="00C6383B">
      <w:pPr>
        <w:jc w:val="center"/>
      </w:pPr>
      <w:r w:rsidRPr="00244581">
        <w:rPr>
          <w:noProof/>
          <w:lang w:eastAsia="fr-FR"/>
        </w:rPr>
        <w:lastRenderedPageBreak/>
        <w:drawing>
          <wp:inline distT="0" distB="0" distL="0" distR="0" wp14:anchorId="6ACB376A" wp14:editId="1119C3A3">
            <wp:extent cx="3913632" cy="2698672"/>
            <wp:effectExtent l="0" t="0" r="0" b="0"/>
            <wp:docPr id="54" name="Picture 54" descr="C:\Users\rblinovaite\AppData\Local\Microsoft\Windows\INetCache\Content.MSO\8A55E1B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rblinovaite\AppData\Local\Microsoft\Windows\INetCache\Content.MSO\8A55E1B1.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39059" cy="2716206"/>
                    </a:xfrm>
                    <a:prstGeom prst="rect">
                      <a:avLst/>
                    </a:prstGeom>
                    <a:noFill/>
                    <a:ln>
                      <a:noFill/>
                    </a:ln>
                  </pic:spPr>
                </pic:pic>
              </a:graphicData>
            </a:graphic>
          </wp:inline>
        </w:drawing>
      </w:r>
    </w:p>
    <w:p w14:paraId="3DECDB37" w14:textId="77777777" w:rsidR="005757A3" w:rsidRPr="00244581" w:rsidRDefault="005757A3" w:rsidP="005757A3">
      <w:pPr>
        <w:pStyle w:val="Caption"/>
        <w:rPr>
          <w:lang w:val="en-GB"/>
        </w:rPr>
      </w:pPr>
      <w:bookmarkStart w:id="7" w:name="_Ref4577766"/>
      <w:r w:rsidRPr="00244581">
        <w:rPr>
          <w:lang w:val="en-GB"/>
        </w:rPr>
        <w:t xml:space="preserve">Figure </w:t>
      </w:r>
      <w:r w:rsidRPr="00244581">
        <w:rPr>
          <w:noProof/>
          <w:lang w:val="en-GB"/>
        </w:rPr>
        <w:fldChar w:fldCharType="begin"/>
      </w:r>
      <w:r w:rsidRPr="00244581">
        <w:rPr>
          <w:noProof/>
          <w:lang w:val="en-GB"/>
        </w:rPr>
        <w:instrText xml:space="preserve"> SEQ Figure \* ARABIC </w:instrText>
      </w:r>
      <w:r w:rsidRPr="00244581">
        <w:rPr>
          <w:noProof/>
          <w:lang w:val="en-GB"/>
        </w:rPr>
        <w:fldChar w:fldCharType="separate"/>
      </w:r>
      <w:r w:rsidR="0094489B" w:rsidRPr="00244581">
        <w:rPr>
          <w:noProof/>
          <w:lang w:val="en-GB"/>
        </w:rPr>
        <w:t>4</w:t>
      </w:r>
      <w:r w:rsidRPr="00244581">
        <w:rPr>
          <w:noProof/>
          <w:lang w:val="en-GB"/>
        </w:rPr>
        <w:fldChar w:fldCharType="end"/>
      </w:r>
      <w:bookmarkEnd w:id="7"/>
      <w:r w:rsidRPr="00244581">
        <w:rPr>
          <w:lang w:val="en-GB"/>
        </w:rPr>
        <w:t xml:space="preserve"> FS RRL antenna pattern (ITU-R F.699-8)</w:t>
      </w:r>
    </w:p>
    <w:p w14:paraId="42A297D6" w14:textId="77777777" w:rsidR="005757A3" w:rsidRPr="00244581" w:rsidRDefault="00CC16B0" w:rsidP="00CC16B0">
      <w:pPr>
        <w:pStyle w:val="Heading2"/>
        <w:rPr>
          <w:lang w:val="en-GB"/>
        </w:rPr>
      </w:pPr>
      <w:r w:rsidRPr="00244581">
        <w:rPr>
          <w:lang w:val="en-GB"/>
        </w:rPr>
        <w:t xml:space="preserve">Methodology for interference analysis </w:t>
      </w:r>
    </w:p>
    <w:p w14:paraId="72A7B1D3" w14:textId="4F62780C" w:rsidR="00CC16B0" w:rsidRPr="00244581" w:rsidRDefault="00CC16B0" w:rsidP="00CC16B0">
      <w:pPr>
        <w:rPr>
          <w:rStyle w:val="ECCParagraph"/>
        </w:rPr>
      </w:pPr>
      <w:r w:rsidRPr="00244581">
        <w:t>Interference probability evaluation is implemented by performing Monte-Carlo simulation with 10</w:t>
      </w:r>
      <w:r w:rsidR="007936A1" w:rsidRPr="00244581">
        <w:t xml:space="preserve"> 0</w:t>
      </w:r>
      <w:r w:rsidRPr="00244581">
        <w:t>00 simulation runs for Vilnius city</w:t>
      </w:r>
      <w:r w:rsidR="007936A1" w:rsidRPr="00244581">
        <w:t xml:space="preserve"> area</w:t>
      </w:r>
      <w:r w:rsidRPr="00244581">
        <w:t>.</w:t>
      </w:r>
      <w:r w:rsidR="00190FC1" w:rsidRPr="00244581">
        <w:t xml:space="preserve"> For every Monte-Carlo iteration, a new FSS ES is generated with randomly assigned characteristics, defined in Paragraph </w:t>
      </w:r>
      <w:r w:rsidR="00190FC1" w:rsidRPr="00244581">
        <w:fldChar w:fldCharType="begin"/>
      </w:r>
      <w:r w:rsidR="00190FC1" w:rsidRPr="00244581">
        <w:instrText xml:space="preserve"> REF _Ref5313349 \r \h </w:instrText>
      </w:r>
      <w:r w:rsidR="0064363C" w:rsidRPr="00244581">
        <w:instrText xml:space="preserve"> \* MERGEFORMAT </w:instrText>
      </w:r>
      <w:r w:rsidR="00190FC1" w:rsidRPr="00244581">
        <w:fldChar w:fldCharType="separate"/>
      </w:r>
      <w:r w:rsidR="00190FC1" w:rsidRPr="00244581">
        <w:t>1.1</w:t>
      </w:r>
      <w:r w:rsidR="00190FC1" w:rsidRPr="00244581">
        <w:fldChar w:fldCharType="end"/>
      </w:r>
      <w:r w:rsidR="00190FC1" w:rsidRPr="00244581">
        <w:t>.</w:t>
      </w:r>
      <w:r w:rsidRPr="00244581">
        <w:t xml:space="preserve"> </w:t>
      </w:r>
      <w:r w:rsidR="00A64FDF" w:rsidRPr="00244581">
        <w:t xml:space="preserve">Interference evaluation scheme is illustrated in </w:t>
      </w:r>
      <w:r w:rsidR="00A64FDF" w:rsidRPr="00244581">
        <w:fldChar w:fldCharType="begin"/>
      </w:r>
      <w:r w:rsidR="00A64FDF" w:rsidRPr="00244581">
        <w:instrText xml:space="preserve"> REF _Ref5285637 \h </w:instrText>
      </w:r>
      <w:r w:rsidR="0064363C" w:rsidRPr="00244581">
        <w:instrText xml:space="preserve"> \* MERGEFORMAT </w:instrText>
      </w:r>
      <w:r w:rsidR="00A64FDF" w:rsidRPr="00244581">
        <w:fldChar w:fldCharType="separate"/>
      </w:r>
      <w:r w:rsidR="00A64FDF" w:rsidRPr="00244581">
        <w:t xml:space="preserve">Figure </w:t>
      </w:r>
      <w:r w:rsidR="00A64FDF" w:rsidRPr="00244581">
        <w:rPr>
          <w:noProof/>
        </w:rPr>
        <w:t>5</w:t>
      </w:r>
      <w:r w:rsidR="00A64FDF" w:rsidRPr="00244581">
        <w:fldChar w:fldCharType="end"/>
      </w:r>
      <w:r w:rsidR="00A64FDF" w:rsidRPr="00244581">
        <w:t xml:space="preserve">. </w:t>
      </w:r>
      <w:r w:rsidRPr="00244581">
        <w:t xml:space="preserve">The interference probability to FS receiver is calculated based on FS protection criteria, which, in this case, is </w:t>
      </w:r>
      <w:r w:rsidRPr="00244581">
        <w:rPr>
          <w:rStyle w:val="ECCParagraph"/>
        </w:rPr>
        <w:t>I/N = -10 dB for long term protection criteria. The FSS interference</w:t>
      </w:r>
      <w:r w:rsidR="000A4A00" w:rsidRPr="00244581">
        <w:rPr>
          <w:rStyle w:val="ECCParagraph"/>
        </w:rPr>
        <w:t xml:space="preserve"> towards FS depends on location</w:t>
      </w:r>
      <w:r w:rsidRPr="00244581">
        <w:rPr>
          <w:rStyle w:val="ECCParagraph"/>
        </w:rPr>
        <w:t xml:space="preserve"> of FSS ES, antenna height, elevati</w:t>
      </w:r>
      <w:r w:rsidR="0094489B" w:rsidRPr="00244581">
        <w:rPr>
          <w:rStyle w:val="ECCParagraph"/>
        </w:rPr>
        <w:t>on angle and transmitted power.</w:t>
      </w:r>
      <w:r w:rsidR="002E2C16" w:rsidRPr="00244581">
        <w:rPr>
          <w:rStyle w:val="ECCParagraph"/>
        </w:rPr>
        <w:t xml:space="preserve"> mixed of both antenna diameters</w:t>
      </w:r>
    </w:p>
    <w:p w14:paraId="265DD7A0" w14:textId="77777777" w:rsidR="0094489B" w:rsidRPr="00244581" w:rsidRDefault="0094489B" w:rsidP="00404AFE">
      <w:pPr>
        <w:keepNext/>
        <w:jc w:val="left"/>
      </w:pPr>
      <w:r w:rsidRPr="00244581">
        <w:rPr>
          <w:noProof/>
          <w:lang w:eastAsia="fr-FR"/>
        </w:rPr>
        <w:drawing>
          <wp:inline distT="0" distB="0" distL="0" distR="0" wp14:anchorId="24730DDF" wp14:editId="6CE7ECB1">
            <wp:extent cx="5086350" cy="3505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086350" cy="3505200"/>
                    </a:xfrm>
                    <a:prstGeom prst="rect">
                      <a:avLst/>
                    </a:prstGeom>
                  </pic:spPr>
                </pic:pic>
              </a:graphicData>
            </a:graphic>
          </wp:inline>
        </w:drawing>
      </w:r>
    </w:p>
    <w:p w14:paraId="7925E538" w14:textId="77777777" w:rsidR="0094489B" w:rsidRPr="00244581" w:rsidRDefault="0094489B" w:rsidP="0094489B">
      <w:pPr>
        <w:pStyle w:val="Caption"/>
        <w:jc w:val="both"/>
        <w:rPr>
          <w:lang w:val="en-GB"/>
        </w:rPr>
      </w:pPr>
      <w:bookmarkStart w:id="8" w:name="_Ref5285637"/>
      <w:bookmarkStart w:id="9" w:name="_Ref5285633"/>
      <w:r w:rsidRPr="00244581">
        <w:rPr>
          <w:lang w:val="en-GB"/>
        </w:rPr>
        <w:t xml:space="preserve">Figure </w:t>
      </w:r>
      <w:r w:rsidRPr="00244581">
        <w:rPr>
          <w:lang w:val="en-GB"/>
        </w:rPr>
        <w:fldChar w:fldCharType="begin"/>
      </w:r>
      <w:r w:rsidRPr="00244581">
        <w:rPr>
          <w:lang w:val="en-GB"/>
        </w:rPr>
        <w:instrText xml:space="preserve"> SEQ Figure \* ARABIC </w:instrText>
      </w:r>
      <w:r w:rsidRPr="00244581">
        <w:rPr>
          <w:lang w:val="en-GB"/>
        </w:rPr>
        <w:fldChar w:fldCharType="separate"/>
      </w:r>
      <w:r w:rsidRPr="00244581">
        <w:rPr>
          <w:noProof/>
          <w:lang w:val="en-GB"/>
        </w:rPr>
        <w:t>5</w:t>
      </w:r>
      <w:r w:rsidRPr="00244581">
        <w:rPr>
          <w:lang w:val="en-GB"/>
        </w:rPr>
        <w:fldChar w:fldCharType="end"/>
      </w:r>
      <w:bookmarkEnd w:id="8"/>
      <w:r w:rsidRPr="00244581">
        <w:rPr>
          <w:lang w:val="en-GB"/>
        </w:rPr>
        <w:t xml:space="preserve"> Interference between FSS ES and FS Rx </w:t>
      </w:r>
      <w:bookmarkEnd w:id="9"/>
      <w:r w:rsidR="00532E5F" w:rsidRPr="00244581">
        <w:rPr>
          <w:lang w:val="en-GB"/>
        </w:rPr>
        <w:t>evaluation scheme</w:t>
      </w:r>
    </w:p>
    <w:p w14:paraId="3DD79C37" w14:textId="77777777" w:rsidR="0094489B" w:rsidRPr="00244581" w:rsidRDefault="0094489B" w:rsidP="0094489B">
      <w:pPr>
        <w:pStyle w:val="Caption"/>
        <w:jc w:val="both"/>
        <w:rPr>
          <w:rStyle w:val="ECCParagraph"/>
        </w:rPr>
      </w:pPr>
    </w:p>
    <w:p w14:paraId="1390C206" w14:textId="77777777" w:rsidR="00D57F96" w:rsidRPr="00244581" w:rsidRDefault="00CC16B0" w:rsidP="00CC16B0">
      <w:pPr>
        <w:pStyle w:val="Heading3"/>
        <w:rPr>
          <w:rStyle w:val="ECCParagraph"/>
        </w:rPr>
      </w:pPr>
      <w:r w:rsidRPr="00244581">
        <w:rPr>
          <w:rStyle w:val="ECCParagraph"/>
        </w:rPr>
        <w:lastRenderedPageBreak/>
        <w:t>Propagation calculation</w:t>
      </w:r>
    </w:p>
    <w:p w14:paraId="33702411" w14:textId="77777777" w:rsidR="00CC16B0" w:rsidRPr="00244581" w:rsidRDefault="00CC16B0" w:rsidP="00CC16B0">
      <w:r w:rsidRPr="00244581">
        <w:t xml:space="preserve">Propagation calculations between FSS ES transmitter and the FS victim receiver are based on ITU-R P.452-16 recommendation implemented in Python </w:t>
      </w:r>
      <w:proofErr w:type="spellStart"/>
      <w:r w:rsidRPr="00244581">
        <w:t>pycraf</w:t>
      </w:r>
      <w:proofErr w:type="spellEnd"/>
      <w:r w:rsidRPr="00244581">
        <w:t xml:space="preserve"> library (for programmatic implementation of this recommendation, see</w:t>
      </w:r>
      <w:r w:rsidR="000A4A00" w:rsidRPr="00244581">
        <w:t xml:space="preserve"> </w:t>
      </w:r>
      <w:r w:rsidR="000A4A00" w:rsidRPr="00244581">
        <w:fldChar w:fldCharType="begin"/>
      </w:r>
      <w:r w:rsidR="000A4A00" w:rsidRPr="00244581">
        <w:instrText xml:space="preserve"> REF _Ref5282971 \h </w:instrText>
      </w:r>
      <w:r w:rsidR="000A4A00" w:rsidRPr="00244581">
        <w:fldChar w:fldCharType="separate"/>
      </w:r>
      <w:r w:rsidR="000A4A00" w:rsidRPr="00244581">
        <w:t>ANNEX 1</w:t>
      </w:r>
      <w:r w:rsidR="000A4A00" w:rsidRPr="00244581">
        <w:fldChar w:fldCharType="end"/>
      </w:r>
      <w:r w:rsidRPr="00244581">
        <w:t xml:space="preserve">). </w:t>
      </w:r>
    </w:p>
    <w:p w14:paraId="70246961" w14:textId="77777777" w:rsidR="00CC16B0" w:rsidRPr="00244581" w:rsidRDefault="00CC16B0" w:rsidP="00CC16B0">
      <w:pPr>
        <w:pStyle w:val="Heading4"/>
      </w:pPr>
    </w:p>
    <w:p w14:paraId="3FEB99D6" w14:textId="77777777" w:rsidR="00CC16B0" w:rsidRPr="00244581" w:rsidRDefault="00CC16B0" w:rsidP="00CC16B0">
      <w:pPr>
        <w:pStyle w:val="Heading4"/>
      </w:pPr>
      <w:r w:rsidRPr="00244581">
        <w:t>Line-of-sight propagation</w:t>
      </w:r>
    </w:p>
    <w:p w14:paraId="4C797A49" w14:textId="77777777" w:rsidR="00CC16B0" w:rsidRPr="00244581" w:rsidRDefault="00CC16B0" w:rsidP="00CC16B0">
      <w:r w:rsidRPr="00244581">
        <w:t xml:space="preserve">Line-of-sight propagation losses formula also includes short-term effects and is applied both to Line-of-sight and </w:t>
      </w:r>
      <w:proofErr w:type="spellStart"/>
      <w:r w:rsidRPr="00244581">
        <w:t>transhorizon</w:t>
      </w:r>
      <w:proofErr w:type="spellEnd"/>
      <w:r w:rsidRPr="00244581">
        <w:t xml:space="preserve"> profiles. Basic transmission loss is caused by free-space propagation losses and attenuation by atmospheric gases:</w:t>
      </w:r>
    </w:p>
    <w:p w14:paraId="6B5530A9" w14:textId="77777777" w:rsidR="00CC16B0" w:rsidRPr="00244581" w:rsidRDefault="00244581" w:rsidP="00CC16B0">
      <m:oMath>
        <m:sSub>
          <m:sSubPr>
            <m:ctrlPr>
              <w:rPr>
                <w:rFonts w:ascii="Cambria Math" w:hAnsi="Cambria Math"/>
              </w:rPr>
            </m:ctrlPr>
          </m:sSubPr>
          <m:e>
            <m:r>
              <w:rPr>
                <w:rFonts w:ascii="Cambria Math" w:hAnsi="Cambria Math"/>
              </w:rPr>
              <m:t>L</m:t>
            </m:r>
          </m:e>
          <m:sub>
            <m:r>
              <w:rPr>
                <w:rFonts w:ascii="Cambria Math" w:hAnsi="Cambria Math"/>
              </w:rPr>
              <m:t>bfsg</m:t>
            </m:r>
          </m:sub>
        </m:sSub>
        <m:r>
          <w:rPr>
            <w:rFonts w:ascii="Cambria Math" w:hAnsi="Cambria Math"/>
          </w:rPr>
          <m:t>=92.5+20</m:t>
        </m:r>
        <m:func>
          <m:funcPr>
            <m:ctrlPr>
              <w:rPr>
                <w:rFonts w:ascii="Cambria Math" w:hAnsi="Cambria Math"/>
              </w:rPr>
            </m:ctrlPr>
          </m:funcPr>
          <m:fName>
            <m:r>
              <m:rPr>
                <m:sty m:val="p"/>
              </m:rPr>
              <w:rPr>
                <w:rFonts w:ascii="Cambria Math" w:hAnsi="Cambria Math"/>
              </w:rPr>
              <m:t>log</m:t>
            </m:r>
          </m:fName>
          <m:e>
            <m:r>
              <w:rPr>
                <w:rFonts w:ascii="Cambria Math" w:hAnsi="Cambria Math"/>
              </w:rPr>
              <m:t>f</m:t>
            </m:r>
          </m:e>
        </m:func>
        <m:r>
          <w:rPr>
            <w:rFonts w:ascii="Cambria Math" w:hAnsi="Cambria Math"/>
          </w:rPr>
          <m:t>+20</m:t>
        </m:r>
        <m:func>
          <m:funcPr>
            <m:ctrlPr>
              <w:rPr>
                <w:rFonts w:ascii="Cambria Math" w:hAnsi="Cambria Math"/>
              </w:rPr>
            </m:ctrlPr>
          </m:funcPr>
          <m:fName>
            <m:r>
              <m:rPr>
                <m:sty m:val="p"/>
              </m:rPr>
              <w:rPr>
                <w:rFonts w:ascii="Cambria Math" w:hAnsi="Cambria Math"/>
              </w:rPr>
              <m:t>log</m:t>
            </m:r>
          </m:fName>
          <m:e>
            <m:r>
              <w:rPr>
                <w:rFonts w:ascii="Cambria Math" w:hAnsi="Cambria Math"/>
              </w:rPr>
              <m:t>d</m:t>
            </m:r>
          </m:e>
        </m:func>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g</m:t>
            </m:r>
          </m:sub>
        </m:sSub>
      </m:oMath>
      <w:r w:rsidR="00CC16B0" w:rsidRPr="00244581">
        <w:t xml:space="preserve"> </w:t>
      </w:r>
    </w:p>
    <w:p w14:paraId="3E38C40C" w14:textId="77777777" w:rsidR="00CC16B0" w:rsidRPr="00244581" w:rsidRDefault="00CC16B0" w:rsidP="00CC16B0">
      <w:r w:rsidRPr="00244581">
        <w:t xml:space="preserve">Where </w:t>
      </w:r>
      <m:oMath>
        <m:sSub>
          <m:sSubPr>
            <m:ctrlPr>
              <w:rPr>
                <w:rFonts w:ascii="Cambria Math" w:hAnsi="Cambria Math"/>
              </w:rPr>
            </m:ctrlPr>
          </m:sSubPr>
          <m:e>
            <m:r>
              <w:rPr>
                <w:rFonts w:ascii="Cambria Math" w:hAnsi="Cambria Math"/>
              </w:rPr>
              <m:t>A</m:t>
            </m:r>
          </m:e>
          <m:sub>
            <m:r>
              <w:rPr>
                <w:rFonts w:ascii="Cambria Math" w:hAnsi="Cambria Math"/>
              </w:rPr>
              <m:t>g</m:t>
            </m:r>
          </m:sub>
        </m:sSub>
      </m:oMath>
      <w:r w:rsidRPr="00244581">
        <w:t xml:space="preserve"> is total gaseous absorption (dB).</w:t>
      </w:r>
    </w:p>
    <w:p w14:paraId="22C5D58E" w14:textId="77777777" w:rsidR="00CC16B0" w:rsidRPr="00244581" w:rsidRDefault="00CC16B0" w:rsidP="00CC16B0">
      <w:pPr>
        <w:pStyle w:val="Heading4"/>
      </w:pPr>
    </w:p>
    <w:p w14:paraId="1A9E7038" w14:textId="77777777" w:rsidR="00CC16B0" w:rsidRPr="00244581" w:rsidRDefault="00CC16B0" w:rsidP="00CC16B0">
      <w:pPr>
        <w:pStyle w:val="Heading4"/>
      </w:pPr>
      <w:r w:rsidRPr="00244581">
        <w:t>Diffraction loss</w:t>
      </w:r>
    </w:p>
    <w:p w14:paraId="4B43E0B2" w14:textId="77777777" w:rsidR="00CC16B0" w:rsidRPr="00244581" w:rsidRDefault="00CC16B0" w:rsidP="00CC16B0">
      <w:r w:rsidRPr="00244581">
        <w:t>The overall diffraction loss is calculated using delta-</w:t>
      </w:r>
      <w:proofErr w:type="spellStart"/>
      <w:r w:rsidRPr="00244581">
        <w:t>Bullington</w:t>
      </w:r>
      <w:proofErr w:type="spellEnd"/>
      <w:r w:rsidRPr="00244581">
        <w:t xml:space="preserve"> diffraction method, which contains three parts. The </w:t>
      </w:r>
      <w:proofErr w:type="spellStart"/>
      <w:r w:rsidRPr="00244581">
        <w:t>Bullington</w:t>
      </w:r>
      <w:proofErr w:type="spellEnd"/>
      <w:r w:rsidRPr="00244581">
        <w:t xml:space="preserve"> part is an expansion of the basic </w:t>
      </w:r>
      <w:proofErr w:type="spellStart"/>
      <w:r w:rsidRPr="00244581">
        <w:t>Bullington</w:t>
      </w:r>
      <w:proofErr w:type="spellEnd"/>
      <w:r w:rsidRPr="00244581">
        <w:t xml:space="preserve"> </w:t>
      </w:r>
      <w:proofErr w:type="spellStart"/>
      <w:r w:rsidRPr="00244581">
        <w:t>contstruction</w:t>
      </w:r>
      <w:proofErr w:type="spellEnd"/>
      <w:r w:rsidRPr="00244581">
        <w:t xml:space="preserve"> for approximate calculation of multiple knife-edge diffraction loss. This part is used twice. Firstly, it is used for actual path profile, and secondly, for a zero-height smooth profile with effective antenna heights. The </w:t>
      </w:r>
      <w:r w:rsidR="000A4A00" w:rsidRPr="00244581">
        <w:t>spherical</w:t>
      </w:r>
      <w:r w:rsidRPr="00244581">
        <w:t>-Earth diffraction loss is calculated using effective antenna heights. For a perfectly smooth path, total diffraction loss will only contain the part of the spherical-Earth model. The total diffraction loss is calculated by combining three mentioned types of diffraction loss. This method provides an estimate of diffraction loss for all types of paths.</w:t>
      </w:r>
    </w:p>
    <w:p w14:paraId="060FEA07" w14:textId="77777777" w:rsidR="00CC16B0" w:rsidRPr="00244581" w:rsidRDefault="00CC16B0" w:rsidP="00CC16B0">
      <w:r w:rsidRPr="00244581">
        <w:t>Total diffraction loss for the general path is given by:</w:t>
      </w:r>
    </w:p>
    <w:p w14:paraId="2B91CE75" w14:textId="77777777" w:rsidR="00CC16B0" w:rsidRPr="00244581" w:rsidRDefault="00244581" w:rsidP="00CC16B0">
      <m:oMath>
        <m:sSub>
          <m:sSubPr>
            <m:ctrlPr>
              <w:rPr>
                <w:rFonts w:ascii="Cambria Math" w:hAnsi="Cambria Math"/>
              </w:rPr>
            </m:ctrlPr>
          </m:sSubPr>
          <m:e>
            <m:r>
              <w:rPr>
                <w:rFonts w:ascii="Cambria Math" w:hAnsi="Cambria Math"/>
              </w:rPr>
              <m:t>L</m:t>
            </m:r>
          </m:e>
          <m:sub>
            <m:r>
              <w:rPr>
                <w:rFonts w:ascii="Cambria Math" w:hAnsi="Cambria Math"/>
              </w:rPr>
              <m:t>d</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bulla</m:t>
            </m:r>
          </m:sub>
        </m:sSub>
        <m: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max</m:t>
                </m:r>
              </m:e>
              <m:lim/>
            </m:limLow>
          </m:fName>
          <m:e>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dsph</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bulls</m:t>
                </m:r>
              </m:sub>
            </m:sSub>
            <m:r>
              <w:rPr>
                <w:rFonts w:ascii="Cambria Math" w:hAnsi="Cambria Math"/>
              </w:rPr>
              <m:t>,0}</m:t>
            </m:r>
          </m:e>
        </m:func>
      </m:oMath>
      <w:r w:rsidR="00CC16B0" w:rsidRPr="00244581">
        <w:t xml:space="preserve"> [dB]</w:t>
      </w:r>
    </w:p>
    <w:p w14:paraId="13AA3606" w14:textId="77777777" w:rsidR="00CC16B0" w:rsidRPr="00244581" w:rsidRDefault="00CC16B0" w:rsidP="00CC16B0"/>
    <w:p w14:paraId="03E73DA7" w14:textId="77777777" w:rsidR="002B5E23" w:rsidRPr="00244581" w:rsidRDefault="00CC16B0" w:rsidP="00CC16B0">
      <w:pPr>
        <w:pStyle w:val="Heading3"/>
        <w:rPr>
          <w:rStyle w:val="ECCParagraph"/>
        </w:rPr>
      </w:pPr>
      <w:r w:rsidRPr="00244581">
        <w:rPr>
          <w:rStyle w:val="ECCParagraph"/>
        </w:rPr>
        <w:t>Clutter loss</w:t>
      </w:r>
      <w:r w:rsidR="00A9262D" w:rsidRPr="00244581">
        <w:rPr>
          <w:rStyle w:val="ECCParagraph"/>
        </w:rPr>
        <w:t xml:space="preserve"> (ITU-R P.452-16)</w:t>
      </w:r>
    </w:p>
    <w:p w14:paraId="5934EF5B" w14:textId="77777777" w:rsidR="004E38F8" w:rsidRPr="00244581" w:rsidRDefault="004A4E4B" w:rsidP="000B5BB5">
      <w:r w:rsidRPr="00244581">
        <w:t>Reception of signal by the a</w:t>
      </w:r>
      <w:r w:rsidR="00E5722E" w:rsidRPr="00244581">
        <w:t xml:space="preserve">ntennas that are surrounded by local ground clutter, like buildings or vegetation, </w:t>
      </w:r>
      <w:r w:rsidRPr="00244581">
        <w:t xml:space="preserve">are </w:t>
      </w:r>
      <w:r w:rsidR="00E5722E" w:rsidRPr="00244581">
        <w:t xml:space="preserve">affected by additional clutter losses. </w:t>
      </w:r>
      <w:r w:rsidR="000B5BB5" w:rsidRPr="00244581">
        <w:t>For clutter loss predictions GlobeCover’09 clutter dataset is selected as it is open source and offers complete and wide coverage.</w:t>
      </w:r>
      <w:r w:rsidR="00EC2AD4" w:rsidRPr="00244581">
        <w:t xml:space="preserve"> </w:t>
      </w:r>
      <w:r w:rsidR="004E38F8" w:rsidRPr="00244581">
        <w:t xml:space="preserve">Recommendation ITU-R P.452-16 proposes </w:t>
      </w:r>
      <w:r w:rsidR="00E04811" w:rsidRPr="00244581">
        <w:t>that the loss due to protection from local clutter is given by the expression:</w:t>
      </w:r>
    </w:p>
    <w:p w14:paraId="5ECF5F08" w14:textId="77777777" w:rsidR="00E04811" w:rsidRPr="00244581" w:rsidRDefault="00244581" w:rsidP="000B5BB5">
      <m:oMath>
        <m:sSub>
          <m:sSubPr>
            <m:ctrlPr>
              <w:rPr>
                <w:rFonts w:ascii="Cambria Math" w:hAnsi="Cambria Math"/>
                <w:i/>
              </w:rPr>
            </m:ctrlPr>
          </m:sSubPr>
          <m:e>
            <m:r>
              <w:rPr>
                <w:rFonts w:ascii="Cambria Math" w:hAnsi="Cambria Math"/>
              </w:rPr>
              <m:t>A</m:t>
            </m:r>
          </m:e>
          <m:sub>
            <m:r>
              <w:rPr>
                <w:rFonts w:ascii="Cambria Math" w:hAnsi="Cambria Math"/>
              </w:rPr>
              <m:t>h</m:t>
            </m:r>
          </m:sub>
        </m:sSub>
        <m:r>
          <w:rPr>
            <w:rFonts w:ascii="Cambria Math" w:hAnsi="Cambria Math"/>
          </w:rPr>
          <m:t>=10.25</m:t>
        </m:r>
        <m:sSub>
          <m:sSubPr>
            <m:ctrlPr>
              <w:rPr>
                <w:rFonts w:ascii="Cambria Math" w:hAnsi="Cambria Math"/>
                <w:i/>
              </w:rPr>
            </m:ctrlPr>
          </m:sSubPr>
          <m:e>
            <m:r>
              <w:rPr>
                <w:rFonts w:ascii="Cambria Math" w:hAnsi="Cambria Math"/>
              </w:rPr>
              <m:t>F</m:t>
            </m:r>
          </m:e>
          <m:sub>
            <m:r>
              <w:rPr>
                <w:rFonts w:ascii="Cambria Math" w:hAnsi="Cambria Math"/>
              </w:rPr>
              <m:t>fc</m:t>
            </m:r>
          </m:sub>
        </m:sSub>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-d</m:t>
                </m:r>
              </m:e>
              <m:sub>
                <m:r>
                  <w:rPr>
                    <w:rFonts w:ascii="Cambria Math" w:hAnsi="Cambria Math"/>
                  </w:rPr>
                  <m:t>k</m:t>
                </m:r>
              </m:sub>
            </m:sSub>
          </m:sup>
        </m:sSup>
        <m:d>
          <m:dPr>
            <m:ctrlPr>
              <w:rPr>
                <w:rFonts w:ascii="Cambria Math" w:hAnsi="Cambria Math"/>
                <w:i/>
              </w:rPr>
            </m:ctrlPr>
          </m:dPr>
          <m:e>
            <m:r>
              <w:rPr>
                <w:rFonts w:ascii="Cambria Math" w:hAnsi="Cambria Math"/>
              </w:rPr>
              <m:t>1-</m:t>
            </m:r>
            <m:func>
              <m:funcPr>
                <m:ctrlPr>
                  <w:rPr>
                    <w:rFonts w:ascii="Cambria Math" w:hAnsi="Cambria Math"/>
                    <w:i/>
                  </w:rPr>
                </m:ctrlPr>
              </m:funcPr>
              <m:fName>
                <m:r>
                  <m:rPr>
                    <m:sty m:val="p"/>
                  </m:rPr>
                  <w:rPr>
                    <w:rFonts w:ascii="Cambria Math" w:hAnsi="Cambria Math"/>
                  </w:rPr>
                  <m:t>tanh</m:t>
                </m:r>
              </m:fName>
              <m:e>
                <m:d>
                  <m:dPr>
                    <m:begChr m:val="["/>
                    <m:endChr m:val="]"/>
                    <m:ctrlPr>
                      <w:rPr>
                        <w:rFonts w:ascii="Cambria Math" w:hAnsi="Cambria Math"/>
                        <w:i/>
                      </w:rPr>
                    </m:ctrlPr>
                  </m:dPr>
                  <m:e>
                    <m:r>
                      <w:rPr>
                        <w:rFonts w:ascii="Cambria Math" w:hAnsi="Cambria Math"/>
                      </w:rPr>
                      <m:t>6</m:t>
                    </m:r>
                    <m:d>
                      <m:dPr>
                        <m:ctrlPr>
                          <w:rPr>
                            <w:rFonts w:ascii="Cambria Math" w:hAnsi="Cambria Math"/>
                            <w:i/>
                          </w:rPr>
                        </m:ctrlPr>
                      </m:dPr>
                      <m:e>
                        <m:f>
                          <m:fPr>
                            <m:ctrlPr>
                              <w:rPr>
                                <w:rFonts w:ascii="Cambria Math" w:hAnsi="Cambria Math"/>
                                <w:i/>
                              </w:rPr>
                            </m:ctrlPr>
                          </m:fPr>
                          <m:num>
                            <m:r>
                              <w:rPr>
                                <w:rFonts w:ascii="Cambria Math" w:hAnsi="Cambria Math"/>
                              </w:rPr>
                              <m:t>h</m:t>
                            </m:r>
                          </m:num>
                          <m:den>
                            <m:sSub>
                              <m:sSubPr>
                                <m:ctrlPr>
                                  <w:rPr>
                                    <w:rFonts w:ascii="Cambria Math" w:hAnsi="Cambria Math"/>
                                    <w:i/>
                                  </w:rPr>
                                </m:ctrlPr>
                              </m:sSubPr>
                              <m:e>
                                <m:r>
                                  <w:rPr>
                                    <w:rFonts w:ascii="Cambria Math" w:hAnsi="Cambria Math"/>
                                  </w:rPr>
                                  <m:t>h</m:t>
                                </m:r>
                              </m:e>
                              <m:sub>
                                <m:r>
                                  <w:rPr>
                                    <w:rFonts w:ascii="Cambria Math" w:hAnsi="Cambria Math"/>
                                  </w:rPr>
                                  <m:t>a</m:t>
                                </m:r>
                              </m:sub>
                            </m:sSub>
                          </m:den>
                        </m:f>
                        <m:r>
                          <w:rPr>
                            <w:rFonts w:ascii="Cambria Math" w:hAnsi="Cambria Math"/>
                          </w:rPr>
                          <m:t>-0.625</m:t>
                        </m:r>
                      </m:e>
                    </m:d>
                  </m:e>
                </m:d>
              </m:e>
            </m:func>
          </m:e>
        </m:d>
        <m:r>
          <w:rPr>
            <w:rFonts w:ascii="Cambria Math" w:hAnsi="Cambria Math"/>
          </w:rPr>
          <m:t>-0.33</m:t>
        </m:r>
      </m:oMath>
      <w:r w:rsidR="00E04811" w:rsidRPr="00244581">
        <w:rPr>
          <w:i/>
        </w:rPr>
        <w:t xml:space="preserve"> </w:t>
      </w:r>
      <w:r w:rsidR="00E04811" w:rsidRPr="00244581">
        <w:t>[dB]</w:t>
      </w:r>
    </w:p>
    <w:p w14:paraId="547DA21A" w14:textId="77777777" w:rsidR="00AE2D36" w:rsidRPr="00244581" w:rsidRDefault="00244581" w:rsidP="000B5BB5">
      <m:oMath>
        <m:sSub>
          <m:sSubPr>
            <m:ctrlPr>
              <w:rPr>
                <w:rFonts w:ascii="Cambria Math" w:hAnsi="Cambria Math"/>
                <w:i/>
              </w:rPr>
            </m:ctrlPr>
          </m:sSubPr>
          <m:e>
            <m:r>
              <w:rPr>
                <w:rFonts w:ascii="Cambria Math" w:hAnsi="Cambria Math"/>
              </w:rPr>
              <m:t>F</m:t>
            </m:r>
          </m:e>
          <m:sub>
            <m:r>
              <w:rPr>
                <w:rFonts w:ascii="Cambria Math" w:hAnsi="Cambria Math"/>
              </w:rPr>
              <m:t>fc</m:t>
            </m:r>
          </m:sub>
        </m:sSub>
        <m:r>
          <w:rPr>
            <w:rFonts w:ascii="Cambria Math" w:hAnsi="Cambria Math"/>
          </w:rPr>
          <m:t>=0.25+0.375(1+</m:t>
        </m:r>
        <m:func>
          <m:funcPr>
            <m:ctrlPr>
              <w:rPr>
                <w:rFonts w:ascii="Cambria Math" w:hAnsi="Cambria Math"/>
                <w:i/>
              </w:rPr>
            </m:ctrlPr>
          </m:funcPr>
          <m:fName>
            <m:r>
              <m:rPr>
                <m:sty m:val="p"/>
              </m:rPr>
              <w:rPr>
                <w:rFonts w:ascii="Cambria Math" w:hAnsi="Cambria Math"/>
              </w:rPr>
              <m:t>tanh</m:t>
            </m:r>
          </m:fName>
          <m:e>
            <m:r>
              <w:rPr>
                <w:rFonts w:ascii="Cambria Math" w:hAnsi="Cambria Math"/>
              </w:rPr>
              <m:t>(7.5(f-0.5))</m:t>
            </m:r>
          </m:e>
        </m:func>
        <m:r>
          <w:rPr>
            <w:rFonts w:ascii="Cambria Math" w:hAnsi="Cambria Math"/>
          </w:rPr>
          <m:t>)</m:t>
        </m:r>
      </m:oMath>
      <w:r w:rsidR="00AE2D36" w:rsidRPr="00244581">
        <w:t xml:space="preserve"> </w:t>
      </w:r>
    </w:p>
    <w:p w14:paraId="72C0A45F" w14:textId="77777777" w:rsidR="00EC2AD4" w:rsidRPr="00244581" w:rsidRDefault="00E04811" w:rsidP="000B5BB5">
      <w:r w:rsidRPr="00244581">
        <w:t xml:space="preserve">Where: </w:t>
      </w:r>
      <m:oMath>
        <m:sSub>
          <m:sSubPr>
            <m:ctrlPr>
              <w:rPr>
                <w:rFonts w:ascii="Cambria Math" w:hAnsi="Cambria Math"/>
                <w:i/>
              </w:rPr>
            </m:ctrlPr>
          </m:sSubPr>
          <m:e>
            <m:r>
              <w:rPr>
                <w:rFonts w:ascii="Cambria Math" w:hAnsi="Cambria Math"/>
              </w:rPr>
              <m:t>d</m:t>
            </m:r>
          </m:e>
          <m:sub>
            <m:r>
              <w:rPr>
                <w:rFonts w:ascii="Cambria Math" w:hAnsi="Cambria Math"/>
              </w:rPr>
              <m:t>k</m:t>
            </m:r>
          </m:sub>
        </m:sSub>
      </m:oMath>
      <w:r w:rsidRPr="00244581">
        <w:t xml:space="preserve"> </w:t>
      </w:r>
      <w:r w:rsidR="00EC2AD4" w:rsidRPr="00244581">
        <w:t xml:space="preserve">– </w:t>
      </w:r>
      <w:r w:rsidR="00E5722E" w:rsidRPr="00244581">
        <w:t xml:space="preserve">nominal clutter distance, </w:t>
      </w:r>
      <w:r w:rsidR="00EC2AD4" w:rsidRPr="00244581">
        <w:t xml:space="preserve">distance (km) from nominal clutter point to the antenna, </w:t>
      </w:r>
      <m:oMath>
        <m:r>
          <w:rPr>
            <w:rFonts w:ascii="Cambria Math" w:hAnsi="Cambria Math"/>
          </w:rPr>
          <m:t xml:space="preserve">h </m:t>
        </m:r>
        <m:r>
          <m:rPr>
            <m:sty m:val="p"/>
          </m:rPr>
          <w:rPr>
            <w:rFonts w:ascii="Cambria Math" w:hAnsi="Cambria Math"/>
          </w:rPr>
          <m:t>–</m:t>
        </m:r>
      </m:oMath>
      <w:r w:rsidR="00EC2AD4" w:rsidRPr="00244581">
        <w:t xml:space="preserve"> antenna height (m) above local ground level, </w:t>
      </w:r>
      <m:oMath>
        <m:sSub>
          <m:sSubPr>
            <m:ctrlPr>
              <w:rPr>
                <w:rFonts w:ascii="Cambria Math" w:hAnsi="Cambria Math"/>
                <w:i/>
              </w:rPr>
            </m:ctrlPr>
          </m:sSubPr>
          <m:e>
            <m:r>
              <w:rPr>
                <w:rFonts w:ascii="Cambria Math" w:hAnsi="Cambria Math"/>
              </w:rPr>
              <m:t>h</m:t>
            </m:r>
          </m:e>
          <m:sub>
            <m:r>
              <w:rPr>
                <w:rFonts w:ascii="Cambria Math" w:hAnsi="Cambria Math"/>
              </w:rPr>
              <m:t>a</m:t>
            </m:r>
          </m:sub>
        </m:sSub>
      </m:oMath>
      <w:r w:rsidR="00EC2AD4" w:rsidRPr="00244581">
        <w:t xml:space="preserve"> – nominal clutter height (m) above local ground level.</w:t>
      </w:r>
      <w:r w:rsidR="00E5722E" w:rsidRPr="00244581">
        <w:t xml:space="preserve"> Such losses are calculated for both interferer and </w:t>
      </w:r>
      <w:r w:rsidR="006E2DD3" w:rsidRPr="00244581">
        <w:t>in</w:t>
      </w:r>
      <w:r w:rsidR="00E5722E" w:rsidRPr="00244581">
        <w:t>terfered-with.</w:t>
      </w:r>
      <w:r w:rsidR="00AE2D36" w:rsidRPr="00244581">
        <w:t xml:space="preserve"> </w:t>
      </w:r>
      <w:bookmarkStart w:id="10" w:name="_Hlk5349944"/>
      <w:r w:rsidR="00AE2D36" w:rsidRPr="00244581">
        <w:t xml:space="preserve">The maximum additional loss is 20 </w:t>
      </w:r>
      <w:proofErr w:type="spellStart"/>
      <w:r w:rsidR="00AE2D36" w:rsidRPr="00244581">
        <w:t>dB</w:t>
      </w:r>
      <w:bookmarkEnd w:id="10"/>
      <w:r w:rsidR="00AE2D36" w:rsidRPr="00244581">
        <w:t>.</w:t>
      </w:r>
      <w:proofErr w:type="spellEnd"/>
      <w:r w:rsidR="00AE2D36" w:rsidRPr="00244581">
        <w:t xml:space="preserve"> When this correction is used for urban environments consisting tall buildings separated by open spaces, high clutter losses should not be expected.</w:t>
      </w:r>
      <w:r w:rsidR="00EC2AD4" w:rsidRPr="00244581">
        <w:t xml:space="preserve"> Nominal clutter heights and distances are listed in </w:t>
      </w:r>
      <w:r w:rsidR="00EC2AD4" w:rsidRPr="00244581">
        <w:fldChar w:fldCharType="begin"/>
      </w:r>
      <w:r w:rsidR="00EC2AD4" w:rsidRPr="00244581">
        <w:instrText xml:space="preserve"> REF _Ref5107767 \h </w:instrText>
      </w:r>
      <w:r w:rsidR="00EC2AD4" w:rsidRPr="00244581">
        <w:fldChar w:fldCharType="separate"/>
      </w:r>
      <w:r w:rsidR="00EC2AD4" w:rsidRPr="00244581">
        <w:t xml:space="preserve">Table </w:t>
      </w:r>
      <w:r w:rsidR="00EC2AD4" w:rsidRPr="00244581">
        <w:rPr>
          <w:noProof/>
        </w:rPr>
        <w:t>2</w:t>
      </w:r>
      <w:r w:rsidR="00EC2AD4" w:rsidRPr="00244581">
        <w:fldChar w:fldCharType="end"/>
      </w:r>
      <w:r w:rsidR="00EC2AD4" w:rsidRPr="00244581">
        <w:t>.</w:t>
      </w:r>
      <w:r w:rsidR="00790B15" w:rsidRPr="00244581">
        <w:t xml:space="preserve"> For this analysis, we use three types of clutter: unknown (i.e. no clutter), urban and suburban.</w:t>
      </w:r>
    </w:p>
    <w:p w14:paraId="636EC40D" w14:textId="77777777" w:rsidR="00EC2AD4" w:rsidRPr="00244581" w:rsidRDefault="00EC2AD4" w:rsidP="00EC2AD4">
      <w:pPr>
        <w:pStyle w:val="Caption"/>
        <w:keepNext/>
        <w:rPr>
          <w:lang w:val="en-GB"/>
        </w:rPr>
      </w:pPr>
      <w:bookmarkStart w:id="11" w:name="_Ref5107767"/>
      <w:r w:rsidRPr="00244581">
        <w:rPr>
          <w:lang w:val="en-GB"/>
        </w:rPr>
        <w:t xml:space="preserve">Table </w:t>
      </w:r>
      <w:r w:rsidRPr="00244581">
        <w:rPr>
          <w:lang w:val="en-GB"/>
        </w:rPr>
        <w:fldChar w:fldCharType="begin"/>
      </w:r>
      <w:r w:rsidRPr="00244581">
        <w:rPr>
          <w:lang w:val="en-GB"/>
        </w:rPr>
        <w:instrText xml:space="preserve"> SEQ Table \* ARABIC </w:instrText>
      </w:r>
      <w:r w:rsidRPr="00244581">
        <w:rPr>
          <w:lang w:val="en-GB"/>
        </w:rPr>
        <w:fldChar w:fldCharType="separate"/>
      </w:r>
      <w:r w:rsidRPr="00244581">
        <w:rPr>
          <w:noProof/>
          <w:lang w:val="en-GB"/>
        </w:rPr>
        <w:t>2</w:t>
      </w:r>
      <w:r w:rsidRPr="00244581">
        <w:rPr>
          <w:lang w:val="en-GB"/>
        </w:rPr>
        <w:fldChar w:fldCharType="end"/>
      </w:r>
      <w:bookmarkEnd w:id="11"/>
      <w:r w:rsidRPr="00244581">
        <w:rPr>
          <w:lang w:val="en-GB"/>
        </w:rPr>
        <w:t xml:space="preserve"> ITU-R 452-16 nominal clutter heights and distances</w:t>
      </w:r>
    </w:p>
    <w:tbl>
      <w:tblPr>
        <w:tblStyle w:val="ECCTable-redheader"/>
        <w:tblW w:w="7792" w:type="dxa"/>
        <w:tblInd w:w="0" w:type="dxa"/>
        <w:tblLook w:val="04A0" w:firstRow="1" w:lastRow="0" w:firstColumn="1" w:lastColumn="0" w:noHBand="0" w:noVBand="1"/>
      </w:tblPr>
      <w:tblGrid>
        <w:gridCol w:w="2371"/>
        <w:gridCol w:w="2586"/>
        <w:gridCol w:w="2835"/>
      </w:tblGrid>
      <w:tr w:rsidR="004E38F8" w:rsidRPr="00244581" w14:paraId="2490C826" w14:textId="77777777" w:rsidTr="00E04811">
        <w:trPr>
          <w:cnfStyle w:val="100000000000" w:firstRow="1" w:lastRow="0" w:firstColumn="0" w:lastColumn="0" w:oddVBand="0" w:evenVBand="0" w:oddHBand="0" w:evenHBand="0" w:firstRowFirstColumn="0" w:firstRowLastColumn="0" w:lastRowFirstColumn="0" w:lastRowLastColumn="0"/>
        </w:trPr>
        <w:tc>
          <w:tcPr>
            <w:tcW w:w="2371" w:type="dxa"/>
            <w:hideMark/>
          </w:tcPr>
          <w:p w14:paraId="2B640429" w14:textId="77777777" w:rsidR="004E38F8" w:rsidRPr="00244581" w:rsidRDefault="004E38F8" w:rsidP="004E38F8">
            <w:pPr>
              <w:pStyle w:val="ECCTabletext"/>
              <w:rPr>
                <w:rStyle w:val="ECCParagraph"/>
              </w:rPr>
            </w:pPr>
            <w:r w:rsidRPr="00244581">
              <w:rPr>
                <w:rStyle w:val="ECCParagraph"/>
              </w:rPr>
              <w:t>Clutter type</w:t>
            </w:r>
          </w:p>
        </w:tc>
        <w:tc>
          <w:tcPr>
            <w:tcW w:w="2586" w:type="dxa"/>
            <w:hideMark/>
          </w:tcPr>
          <w:p w14:paraId="37005FC7" w14:textId="77777777" w:rsidR="004E38F8" w:rsidRPr="00244581" w:rsidRDefault="004E38F8" w:rsidP="004E38F8">
            <w:pPr>
              <w:pStyle w:val="ECCTabletext"/>
              <w:rPr>
                <w:rStyle w:val="ECCParagraph"/>
              </w:rPr>
            </w:pPr>
            <w:r w:rsidRPr="00244581">
              <w:rPr>
                <w:rStyle w:val="ECCParagraph"/>
              </w:rPr>
              <w:t xml:space="preserve">Nominal height, </w:t>
            </w:r>
            <m:oMath>
              <m:sSub>
                <m:sSubPr>
                  <m:ctrlPr>
                    <w:rPr>
                      <w:rStyle w:val="ECCParagraph"/>
                      <w:rFonts w:ascii="Cambria Math" w:hAnsi="Cambria Math"/>
                      <w:i/>
                    </w:rPr>
                  </m:ctrlPr>
                </m:sSubPr>
                <m:e>
                  <m:r>
                    <m:rPr>
                      <m:sty m:val="bi"/>
                    </m:rPr>
                    <w:rPr>
                      <w:rStyle w:val="ECCParagraph"/>
                      <w:rFonts w:ascii="Cambria Math" w:hAnsi="Cambria Math"/>
                    </w:rPr>
                    <m:t>h</m:t>
                  </m:r>
                </m:e>
                <m:sub>
                  <m:r>
                    <m:rPr>
                      <m:sty m:val="bi"/>
                    </m:rPr>
                    <w:rPr>
                      <w:rStyle w:val="ECCParagraph"/>
                      <w:rFonts w:ascii="Cambria Math" w:hAnsi="Cambria Math"/>
                    </w:rPr>
                    <m:t>a</m:t>
                  </m:r>
                </m:sub>
              </m:sSub>
            </m:oMath>
            <w:r w:rsidRPr="00244581">
              <w:rPr>
                <w:rStyle w:val="ECCParagraph"/>
              </w:rPr>
              <w:t xml:space="preserve"> [m]</w:t>
            </w:r>
          </w:p>
        </w:tc>
        <w:tc>
          <w:tcPr>
            <w:tcW w:w="2835" w:type="dxa"/>
            <w:hideMark/>
          </w:tcPr>
          <w:p w14:paraId="246728B1" w14:textId="77777777" w:rsidR="004E38F8" w:rsidRPr="00244581" w:rsidRDefault="004E38F8" w:rsidP="004E38F8">
            <w:pPr>
              <w:pStyle w:val="ECCTabletext"/>
              <w:rPr>
                <w:rStyle w:val="ECCParagraph"/>
              </w:rPr>
            </w:pPr>
            <w:r w:rsidRPr="00244581">
              <w:rPr>
                <w:rStyle w:val="ECCParagraph"/>
              </w:rPr>
              <w:t xml:space="preserve">Nominal distance, </w:t>
            </w:r>
            <m:oMath>
              <m:sSub>
                <m:sSubPr>
                  <m:ctrlPr>
                    <w:rPr>
                      <w:rStyle w:val="ECCParagraph"/>
                      <w:rFonts w:ascii="Cambria Math" w:hAnsi="Cambria Math"/>
                      <w:i/>
                    </w:rPr>
                  </m:ctrlPr>
                </m:sSubPr>
                <m:e>
                  <m:r>
                    <m:rPr>
                      <m:sty m:val="bi"/>
                    </m:rPr>
                    <w:rPr>
                      <w:rStyle w:val="ECCParagraph"/>
                      <w:rFonts w:ascii="Cambria Math" w:hAnsi="Cambria Math"/>
                    </w:rPr>
                    <m:t>d</m:t>
                  </m:r>
                </m:e>
                <m:sub>
                  <m:r>
                    <m:rPr>
                      <m:sty m:val="bi"/>
                    </m:rPr>
                    <w:rPr>
                      <w:rStyle w:val="ECCParagraph"/>
                      <w:rFonts w:ascii="Cambria Math" w:hAnsi="Cambria Math"/>
                    </w:rPr>
                    <m:t>k</m:t>
                  </m:r>
                </m:sub>
              </m:sSub>
            </m:oMath>
            <w:r w:rsidRPr="00244581">
              <w:rPr>
                <w:rStyle w:val="ECCParagraph"/>
              </w:rPr>
              <w:t xml:space="preserve"> [</w:t>
            </w:r>
            <w:r w:rsidR="00E5722E" w:rsidRPr="00244581">
              <w:rPr>
                <w:rStyle w:val="ECCParagraph"/>
              </w:rPr>
              <w:t>k</w:t>
            </w:r>
            <w:r w:rsidRPr="00244581">
              <w:rPr>
                <w:rStyle w:val="ECCParagraph"/>
              </w:rPr>
              <w:t>m]</w:t>
            </w:r>
          </w:p>
        </w:tc>
      </w:tr>
      <w:tr w:rsidR="004E38F8" w:rsidRPr="00244581" w14:paraId="3041159A" w14:textId="77777777" w:rsidTr="00E04811">
        <w:tc>
          <w:tcPr>
            <w:tcW w:w="2371" w:type="dxa"/>
          </w:tcPr>
          <w:p w14:paraId="615B15F8" w14:textId="77777777" w:rsidR="004E38F8" w:rsidRPr="00244581" w:rsidRDefault="004E38F8" w:rsidP="004E38F8">
            <w:pPr>
              <w:pStyle w:val="ECCTabletext"/>
              <w:rPr>
                <w:rStyle w:val="ECCParagraph"/>
              </w:rPr>
            </w:pPr>
            <w:r w:rsidRPr="00244581">
              <w:rPr>
                <w:rStyle w:val="ECCParagraph"/>
              </w:rPr>
              <w:t>Unknown</w:t>
            </w:r>
          </w:p>
        </w:tc>
        <w:tc>
          <w:tcPr>
            <w:tcW w:w="2586" w:type="dxa"/>
          </w:tcPr>
          <w:p w14:paraId="7E66C5D3" w14:textId="77777777" w:rsidR="004E38F8" w:rsidRPr="00244581" w:rsidRDefault="00E04811" w:rsidP="004E38F8">
            <w:pPr>
              <w:pStyle w:val="ECCTabletext"/>
              <w:rPr>
                <w:rStyle w:val="ECCParagraph"/>
              </w:rPr>
            </w:pPr>
            <w:r w:rsidRPr="00244581">
              <w:rPr>
                <w:rStyle w:val="ECCParagraph"/>
              </w:rPr>
              <w:t>0</w:t>
            </w:r>
          </w:p>
        </w:tc>
        <w:tc>
          <w:tcPr>
            <w:tcW w:w="2835" w:type="dxa"/>
          </w:tcPr>
          <w:p w14:paraId="47C01DB9" w14:textId="77777777" w:rsidR="004E38F8" w:rsidRPr="00244581" w:rsidRDefault="00E04811" w:rsidP="004E38F8">
            <w:pPr>
              <w:pStyle w:val="ECCTabletext"/>
              <w:rPr>
                <w:rStyle w:val="ECCParagraph"/>
              </w:rPr>
            </w:pPr>
            <w:r w:rsidRPr="00244581">
              <w:rPr>
                <w:rStyle w:val="ECCParagraph"/>
              </w:rPr>
              <w:t>0</w:t>
            </w:r>
          </w:p>
        </w:tc>
      </w:tr>
      <w:tr w:rsidR="004E38F8" w:rsidRPr="00244581" w14:paraId="253CAEC3" w14:textId="77777777" w:rsidTr="00E04811">
        <w:trPr>
          <w:trHeight w:val="305"/>
        </w:trPr>
        <w:tc>
          <w:tcPr>
            <w:tcW w:w="2371" w:type="dxa"/>
          </w:tcPr>
          <w:p w14:paraId="4BE69527" w14:textId="77777777" w:rsidR="004E38F8" w:rsidRPr="00244581" w:rsidRDefault="004E38F8" w:rsidP="004E38F8">
            <w:pPr>
              <w:pStyle w:val="ECCTabletext"/>
              <w:rPr>
                <w:rStyle w:val="ECCParagraph"/>
              </w:rPr>
            </w:pPr>
            <w:r w:rsidRPr="00244581">
              <w:rPr>
                <w:rStyle w:val="ECCParagraph"/>
              </w:rPr>
              <w:t>Sparse</w:t>
            </w:r>
          </w:p>
        </w:tc>
        <w:tc>
          <w:tcPr>
            <w:tcW w:w="2586" w:type="dxa"/>
          </w:tcPr>
          <w:p w14:paraId="67F4DBB2" w14:textId="77777777" w:rsidR="004E38F8" w:rsidRPr="00244581" w:rsidRDefault="00E04811" w:rsidP="004E38F8">
            <w:pPr>
              <w:pStyle w:val="ECCTabletext"/>
              <w:rPr>
                <w:rStyle w:val="ECCParagraph"/>
              </w:rPr>
            </w:pPr>
            <w:r w:rsidRPr="00244581">
              <w:rPr>
                <w:rStyle w:val="ECCParagraph"/>
              </w:rPr>
              <w:t>4</w:t>
            </w:r>
          </w:p>
        </w:tc>
        <w:tc>
          <w:tcPr>
            <w:tcW w:w="2835" w:type="dxa"/>
          </w:tcPr>
          <w:p w14:paraId="379D3666" w14:textId="77777777" w:rsidR="004E38F8" w:rsidRPr="00244581" w:rsidRDefault="00E5722E" w:rsidP="004E38F8">
            <w:pPr>
              <w:pStyle w:val="ECCTabletext"/>
              <w:rPr>
                <w:rStyle w:val="ECCParagraph"/>
              </w:rPr>
            </w:pPr>
            <w:r w:rsidRPr="00244581">
              <w:rPr>
                <w:rStyle w:val="ECCParagraph"/>
              </w:rPr>
              <w:t>0.10</w:t>
            </w:r>
          </w:p>
        </w:tc>
      </w:tr>
      <w:tr w:rsidR="004E38F8" w:rsidRPr="00244581" w14:paraId="3B9E555C" w14:textId="77777777" w:rsidTr="00E04811">
        <w:tc>
          <w:tcPr>
            <w:tcW w:w="2371" w:type="dxa"/>
          </w:tcPr>
          <w:p w14:paraId="2409422A" w14:textId="77777777" w:rsidR="004E38F8" w:rsidRPr="00244581" w:rsidRDefault="004E38F8" w:rsidP="004E38F8">
            <w:pPr>
              <w:pStyle w:val="ECCTabletext"/>
              <w:rPr>
                <w:rStyle w:val="ECCParagraph"/>
              </w:rPr>
            </w:pPr>
            <w:r w:rsidRPr="00244581">
              <w:rPr>
                <w:rStyle w:val="ECCParagraph"/>
              </w:rPr>
              <w:t>Village</w:t>
            </w:r>
          </w:p>
        </w:tc>
        <w:tc>
          <w:tcPr>
            <w:tcW w:w="2586" w:type="dxa"/>
          </w:tcPr>
          <w:p w14:paraId="123BF823" w14:textId="77777777" w:rsidR="004E38F8" w:rsidRPr="00244581" w:rsidRDefault="00E04811" w:rsidP="004E38F8">
            <w:pPr>
              <w:pStyle w:val="ECCTabletext"/>
              <w:rPr>
                <w:rStyle w:val="ECCParagraph"/>
              </w:rPr>
            </w:pPr>
            <w:r w:rsidRPr="00244581">
              <w:rPr>
                <w:rStyle w:val="ECCParagraph"/>
              </w:rPr>
              <w:t>5</w:t>
            </w:r>
          </w:p>
        </w:tc>
        <w:tc>
          <w:tcPr>
            <w:tcW w:w="2835" w:type="dxa"/>
          </w:tcPr>
          <w:p w14:paraId="21AB1701" w14:textId="77777777" w:rsidR="004E38F8" w:rsidRPr="00244581" w:rsidRDefault="00E5722E" w:rsidP="004E38F8">
            <w:pPr>
              <w:pStyle w:val="ECCTabletext"/>
              <w:rPr>
                <w:rStyle w:val="ECCParagraph"/>
              </w:rPr>
            </w:pPr>
            <w:r w:rsidRPr="00244581">
              <w:rPr>
                <w:rStyle w:val="ECCParagraph"/>
              </w:rPr>
              <w:t>0.07</w:t>
            </w:r>
          </w:p>
        </w:tc>
      </w:tr>
      <w:tr w:rsidR="004E38F8" w:rsidRPr="00244581" w14:paraId="5ECD115E" w14:textId="77777777" w:rsidTr="00E04811">
        <w:tc>
          <w:tcPr>
            <w:tcW w:w="2371" w:type="dxa"/>
          </w:tcPr>
          <w:p w14:paraId="443D75A6" w14:textId="77777777" w:rsidR="004E38F8" w:rsidRPr="00244581" w:rsidRDefault="004E38F8" w:rsidP="004E38F8">
            <w:pPr>
              <w:pStyle w:val="ECCTabletext"/>
              <w:rPr>
                <w:rStyle w:val="ECCParagraph"/>
              </w:rPr>
            </w:pPr>
            <w:proofErr w:type="spellStart"/>
            <w:r w:rsidRPr="00244581">
              <w:rPr>
                <w:rStyle w:val="ECCParagraph"/>
              </w:rPr>
              <w:lastRenderedPageBreak/>
              <w:t>Decidious</w:t>
            </w:r>
            <w:proofErr w:type="spellEnd"/>
            <w:r w:rsidRPr="00244581">
              <w:rPr>
                <w:rStyle w:val="ECCParagraph"/>
              </w:rPr>
              <w:t xml:space="preserve"> trees</w:t>
            </w:r>
          </w:p>
        </w:tc>
        <w:tc>
          <w:tcPr>
            <w:tcW w:w="2586" w:type="dxa"/>
          </w:tcPr>
          <w:p w14:paraId="04D7493C" w14:textId="77777777" w:rsidR="004E38F8" w:rsidRPr="00244581" w:rsidRDefault="00E04811" w:rsidP="004E38F8">
            <w:pPr>
              <w:pStyle w:val="ECCTabletext"/>
              <w:rPr>
                <w:rStyle w:val="ECCParagraph"/>
              </w:rPr>
            </w:pPr>
            <w:r w:rsidRPr="00244581">
              <w:rPr>
                <w:rStyle w:val="ECCParagraph"/>
              </w:rPr>
              <w:t>15</w:t>
            </w:r>
          </w:p>
        </w:tc>
        <w:tc>
          <w:tcPr>
            <w:tcW w:w="2835" w:type="dxa"/>
          </w:tcPr>
          <w:p w14:paraId="522133CD" w14:textId="77777777" w:rsidR="004E38F8" w:rsidRPr="00244581" w:rsidRDefault="00E5722E" w:rsidP="004E38F8">
            <w:pPr>
              <w:pStyle w:val="ECCTabletext"/>
              <w:rPr>
                <w:rStyle w:val="ECCParagraph"/>
              </w:rPr>
            </w:pPr>
            <w:r w:rsidRPr="00244581">
              <w:rPr>
                <w:rStyle w:val="ECCParagraph"/>
              </w:rPr>
              <w:t>0.05</w:t>
            </w:r>
          </w:p>
        </w:tc>
      </w:tr>
      <w:tr w:rsidR="004E38F8" w:rsidRPr="00244581" w14:paraId="1E5EDBD8" w14:textId="77777777" w:rsidTr="00E04811">
        <w:tc>
          <w:tcPr>
            <w:tcW w:w="2371" w:type="dxa"/>
          </w:tcPr>
          <w:p w14:paraId="7C203171" w14:textId="77777777" w:rsidR="004E38F8" w:rsidRPr="00244581" w:rsidRDefault="00E04811" w:rsidP="004E38F8">
            <w:pPr>
              <w:pStyle w:val="ECCTabletext"/>
              <w:rPr>
                <w:rStyle w:val="ECCParagraph"/>
              </w:rPr>
            </w:pPr>
            <w:r w:rsidRPr="00244581">
              <w:rPr>
                <w:rStyle w:val="ECCParagraph"/>
              </w:rPr>
              <w:t>Coniferous trees</w:t>
            </w:r>
          </w:p>
        </w:tc>
        <w:tc>
          <w:tcPr>
            <w:tcW w:w="2586" w:type="dxa"/>
          </w:tcPr>
          <w:p w14:paraId="7A15A446" w14:textId="77777777" w:rsidR="004E38F8" w:rsidRPr="00244581" w:rsidRDefault="00E04811" w:rsidP="004E38F8">
            <w:pPr>
              <w:pStyle w:val="ECCTabletext"/>
              <w:rPr>
                <w:rStyle w:val="ECCParagraph"/>
              </w:rPr>
            </w:pPr>
            <w:r w:rsidRPr="00244581">
              <w:rPr>
                <w:rStyle w:val="ECCParagraph"/>
              </w:rPr>
              <w:t>20</w:t>
            </w:r>
          </w:p>
        </w:tc>
        <w:tc>
          <w:tcPr>
            <w:tcW w:w="2835" w:type="dxa"/>
          </w:tcPr>
          <w:p w14:paraId="2B4C04BF" w14:textId="77777777" w:rsidR="004E38F8" w:rsidRPr="00244581" w:rsidRDefault="00E5722E" w:rsidP="004E38F8">
            <w:pPr>
              <w:pStyle w:val="ECCTabletext"/>
              <w:rPr>
                <w:rStyle w:val="ECCParagraph"/>
              </w:rPr>
            </w:pPr>
            <w:r w:rsidRPr="00244581">
              <w:rPr>
                <w:rStyle w:val="ECCParagraph"/>
              </w:rPr>
              <w:t>0.05</w:t>
            </w:r>
          </w:p>
        </w:tc>
      </w:tr>
      <w:tr w:rsidR="004E38F8" w:rsidRPr="00244581" w14:paraId="4FC32371" w14:textId="77777777" w:rsidTr="00E04811">
        <w:tc>
          <w:tcPr>
            <w:tcW w:w="2371" w:type="dxa"/>
          </w:tcPr>
          <w:p w14:paraId="3824B9BF" w14:textId="77777777" w:rsidR="004E38F8" w:rsidRPr="00244581" w:rsidRDefault="00E04811" w:rsidP="004E38F8">
            <w:pPr>
              <w:pStyle w:val="ECCTabletext"/>
              <w:rPr>
                <w:rStyle w:val="ECCParagraph"/>
              </w:rPr>
            </w:pPr>
            <w:r w:rsidRPr="00244581">
              <w:rPr>
                <w:rStyle w:val="ECCParagraph"/>
              </w:rPr>
              <w:t>Tropical forest</w:t>
            </w:r>
          </w:p>
        </w:tc>
        <w:tc>
          <w:tcPr>
            <w:tcW w:w="2586" w:type="dxa"/>
          </w:tcPr>
          <w:p w14:paraId="73F6AAC7" w14:textId="77777777" w:rsidR="004E38F8" w:rsidRPr="00244581" w:rsidRDefault="00E04811" w:rsidP="004E38F8">
            <w:pPr>
              <w:pStyle w:val="ECCTabletext"/>
              <w:rPr>
                <w:rStyle w:val="ECCParagraph"/>
              </w:rPr>
            </w:pPr>
            <w:r w:rsidRPr="00244581">
              <w:rPr>
                <w:rStyle w:val="ECCParagraph"/>
              </w:rPr>
              <w:t>20</w:t>
            </w:r>
          </w:p>
        </w:tc>
        <w:tc>
          <w:tcPr>
            <w:tcW w:w="2835" w:type="dxa"/>
          </w:tcPr>
          <w:p w14:paraId="59027EB1" w14:textId="77777777" w:rsidR="004E38F8" w:rsidRPr="00244581" w:rsidRDefault="00E5722E" w:rsidP="004E38F8">
            <w:pPr>
              <w:pStyle w:val="ECCTabletext"/>
              <w:rPr>
                <w:rStyle w:val="ECCParagraph"/>
              </w:rPr>
            </w:pPr>
            <w:r w:rsidRPr="00244581">
              <w:rPr>
                <w:rStyle w:val="ECCParagraph"/>
              </w:rPr>
              <w:t>0.03</w:t>
            </w:r>
          </w:p>
        </w:tc>
      </w:tr>
      <w:tr w:rsidR="004E38F8" w:rsidRPr="00244581" w14:paraId="0AE0A4CF" w14:textId="77777777" w:rsidTr="00E04811">
        <w:tc>
          <w:tcPr>
            <w:tcW w:w="2371" w:type="dxa"/>
          </w:tcPr>
          <w:p w14:paraId="0C338969" w14:textId="77777777" w:rsidR="00E04811" w:rsidRPr="00244581" w:rsidRDefault="00E04811" w:rsidP="004E38F8">
            <w:pPr>
              <w:pStyle w:val="ECCTabletext"/>
              <w:rPr>
                <w:rStyle w:val="ECCParagraph"/>
              </w:rPr>
            </w:pPr>
            <w:r w:rsidRPr="00244581">
              <w:rPr>
                <w:rStyle w:val="ECCParagraph"/>
              </w:rPr>
              <w:t>Suburban</w:t>
            </w:r>
          </w:p>
        </w:tc>
        <w:tc>
          <w:tcPr>
            <w:tcW w:w="2586" w:type="dxa"/>
          </w:tcPr>
          <w:p w14:paraId="302B2F14" w14:textId="77777777" w:rsidR="004E38F8" w:rsidRPr="00244581" w:rsidRDefault="00E04811" w:rsidP="004E38F8">
            <w:pPr>
              <w:pStyle w:val="ECCTabletext"/>
              <w:rPr>
                <w:rStyle w:val="ECCParagraph"/>
              </w:rPr>
            </w:pPr>
            <w:r w:rsidRPr="00244581">
              <w:rPr>
                <w:rStyle w:val="ECCParagraph"/>
              </w:rPr>
              <w:t>9</w:t>
            </w:r>
          </w:p>
        </w:tc>
        <w:tc>
          <w:tcPr>
            <w:tcW w:w="2835" w:type="dxa"/>
          </w:tcPr>
          <w:p w14:paraId="03B9D302" w14:textId="77777777" w:rsidR="004E38F8" w:rsidRPr="00244581" w:rsidRDefault="00E5722E" w:rsidP="004E38F8">
            <w:pPr>
              <w:pStyle w:val="ECCTabletext"/>
              <w:rPr>
                <w:rStyle w:val="ECCParagraph"/>
              </w:rPr>
            </w:pPr>
            <w:r w:rsidRPr="00244581">
              <w:rPr>
                <w:rStyle w:val="ECCParagraph"/>
              </w:rPr>
              <w:t>0.025</w:t>
            </w:r>
          </w:p>
        </w:tc>
      </w:tr>
      <w:tr w:rsidR="00E04811" w:rsidRPr="00244581" w14:paraId="7167D057" w14:textId="77777777" w:rsidTr="00E04811">
        <w:tc>
          <w:tcPr>
            <w:tcW w:w="2371" w:type="dxa"/>
          </w:tcPr>
          <w:p w14:paraId="671F4BB3" w14:textId="77777777" w:rsidR="00E04811" w:rsidRPr="00244581" w:rsidRDefault="00E04811" w:rsidP="004E38F8">
            <w:pPr>
              <w:pStyle w:val="ECCTabletext"/>
              <w:rPr>
                <w:rStyle w:val="ECCParagraph"/>
              </w:rPr>
            </w:pPr>
            <w:r w:rsidRPr="00244581">
              <w:rPr>
                <w:rStyle w:val="ECCParagraph"/>
              </w:rPr>
              <w:t>Dense suburban</w:t>
            </w:r>
          </w:p>
        </w:tc>
        <w:tc>
          <w:tcPr>
            <w:tcW w:w="2586" w:type="dxa"/>
          </w:tcPr>
          <w:p w14:paraId="36A7FC34" w14:textId="77777777" w:rsidR="00E04811" w:rsidRPr="00244581" w:rsidRDefault="00E04811" w:rsidP="004E38F8">
            <w:pPr>
              <w:pStyle w:val="ECCTabletext"/>
              <w:rPr>
                <w:rStyle w:val="ECCParagraph"/>
              </w:rPr>
            </w:pPr>
            <w:r w:rsidRPr="00244581">
              <w:rPr>
                <w:rStyle w:val="ECCParagraph"/>
              </w:rPr>
              <w:t>12</w:t>
            </w:r>
          </w:p>
        </w:tc>
        <w:tc>
          <w:tcPr>
            <w:tcW w:w="2835" w:type="dxa"/>
          </w:tcPr>
          <w:p w14:paraId="65831920" w14:textId="77777777" w:rsidR="00E04811" w:rsidRPr="00244581" w:rsidRDefault="00E5722E" w:rsidP="004E38F8">
            <w:pPr>
              <w:pStyle w:val="ECCTabletext"/>
              <w:rPr>
                <w:rStyle w:val="ECCParagraph"/>
              </w:rPr>
            </w:pPr>
            <w:r w:rsidRPr="00244581">
              <w:rPr>
                <w:rStyle w:val="ECCParagraph"/>
              </w:rPr>
              <w:t>0.02</w:t>
            </w:r>
          </w:p>
        </w:tc>
      </w:tr>
      <w:tr w:rsidR="004E38F8" w:rsidRPr="00244581" w14:paraId="106BE662" w14:textId="77777777" w:rsidTr="00E04811">
        <w:tc>
          <w:tcPr>
            <w:tcW w:w="2371" w:type="dxa"/>
          </w:tcPr>
          <w:p w14:paraId="36B09324" w14:textId="77777777" w:rsidR="004E38F8" w:rsidRPr="00244581" w:rsidRDefault="00E04811" w:rsidP="004E38F8">
            <w:pPr>
              <w:pStyle w:val="ECCTabletext"/>
              <w:rPr>
                <w:rStyle w:val="ECCParagraph"/>
              </w:rPr>
            </w:pPr>
            <w:r w:rsidRPr="00244581">
              <w:rPr>
                <w:rStyle w:val="ECCParagraph"/>
              </w:rPr>
              <w:t>Urban</w:t>
            </w:r>
          </w:p>
        </w:tc>
        <w:tc>
          <w:tcPr>
            <w:tcW w:w="2586" w:type="dxa"/>
          </w:tcPr>
          <w:p w14:paraId="2F099788" w14:textId="77777777" w:rsidR="004E38F8" w:rsidRPr="00244581" w:rsidRDefault="00E04811" w:rsidP="004E38F8">
            <w:pPr>
              <w:pStyle w:val="ECCTabletext"/>
              <w:rPr>
                <w:rStyle w:val="ECCParagraph"/>
              </w:rPr>
            </w:pPr>
            <w:r w:rsidRPr="00244581">
              <w:rPr>
                <w:rStyle w:val="ECCParagraph"/>
              </w:rPr>
              <w:t>20</w:t>
            </w:r>
          </w:p>
        </w:tc>
        <w:tc>
          <w:tcPr>
            <w:tcW w:w="2835" w:type="dxa"/>
          </w:tcPr>
          <w:p w14:paraId="1E0712E0" w14:textId="77777777" w:rsidR="004E38F8" w:rsidRPr="00244581" w:rsidRDefault="00E5722E" w:rsidP="004E38F8">
            <w:pPr>
              <w:pStyle w:val="ECCTabletext"/>
              <w:rPr>
                <w:rStyle w:val="ECCParagraph"/>
              </w:rPr>
            </w:pPr>
            <w:r w:rsidRPr="00244581">
              <w:rPr>
                <w:rStyle w:val="ECCParagraph"/>
              </w:rPr>
              <w:t>0.02</w:t>
            </w:r>
          </w:p>
        </w:tc>
      </w:tr>
      <w:tr w:rsidR="004E38F8" w:rsidRPr="00244581" w14:paraId="421A0E8A" w14:textId="77777777" w:rsidTr="00E04811">
        <w:tc>
          <w:tcPr>
            <w:tcW w:w="2371" w:type="dxa"/>
          </w:tcPr>
          <w:p w14:paraId="1671EA43" w14:textId="77777777" w:rsidR="004E38F8" w:rsidRPr="00244581" w:rsidRDefault="00E04811" w:rsidP="004E38F8">
            <w:pPr>
              <w:pStyle w:val="ECCTabletext"/>
              <w:rPr>
                <w:rStyle w:val="ECCParagraph"/>
              </w:rPr>
            </w:pPr>
            <w:r w:rsidRPr="00244581">
              <w:rPr>
                <w:rStyle w:val="ECCParagraph"/>
              </w:rPr>
              <w:t>Dense urban</w:t>
            </w:r>
          </w:p>
        </w:tc>
        <w:tc>
          <w:tcPr>
            <w:tcW w:w="2586" w:type="dxa"/>
          </w:tcPr>
          <w:p w14:paraId="2B34C9B5" w14:textId="77777777" w:rsidR="004E38F8" w:rsidRPr="00244581" w:rsidRDefault="00E04811" w:rsidP="004E38F8">
            <w:pPr>
              <w:pStyle w:val="ECCTabletext"/>
              <w:rPr>
                <w:rStyle w:val="ECCParagraph"/>
              </w:rPr>
            </w:pPr>
            <w:r w:rsidRPr="00244581">
              <w:rPr>
                <w:rStyle w:val="ECCParagraph"/>
              </w:rPr>
              <w:t>25</w:t>
            </w:r>
          </w:p>
        </w:tc>
        <w:tc>
          <w:tcPr>
            <w:tcW w:w="2835" w:type="dxa"/>
          </w:tcPr>
          <w:p w14:paraId="232AF587" w14:textId="77777777" w:rsidR="004E38F8" w:rsidRPr="00244581" w:rsidRDefault="00E5722E" w:rsidP="004E38F8">
            <w:pPr>
              <w:pStyle w:val="ECCTabletext"/>
              <w:rPr>
                <w:rStyle w:val="ECCParagraph"/>
              </w:rPr>
            </w:pPr>
            <w:r w:rsidRPr="00244581">
              <w:rPr>
                <w:rStyle w:val="ECCParagraph"/>
              </w:rPr>
              <w:t>0.02</w:t>
            </w:r>
          </w:p>
        </w:tc>
      </w:tr>
      <w:tr w:rsidR="00E04811" w:rsidRPr="00244581" w14:paraId="6A1E87EA" w14:textId="77777777" w:rsidTr="00E04811">
        <w:tc>
          <w:tcPr>
            <w:tcW w:w="2371" w:type="dxa"/>
          </w:tcPr>
          <w:p w14:paraId="7CAC9D72" w14:textId="77777777" w:rsidR="00E04811" w:rsidRPr="00244581" w:rsidRDefault="00E04811" w:rsidP="004E38F8">
            <w:pPr>
              <w:pStyle w:val="ECCTabletext"/>
              <w:rPr>
                <w:rStyle w:val="ECCParagraph"/>
              </w:rPr>
            </w:pPr>
            <w:r w:rsidRPr="00244581">
              <w:rPr>
                <w:rStyle w:val="ECCParagraph"/>
              </w:rPr>
              <w:t>High urban</w:t>
            </w:r>
          </w:p>
        </w:tc>
        <w:tc>
          <w:tcPr>
            <w:tcW w:w="2586" w:type="dxa"/>
          </w:tcPr>
          <w:p w14:paraId="05210C0A" w14:textId="77777777" w:rsidR="00E04811" w:rsidRPr="00244581" w:rsidRDefault="00E04811" w:rsidP="004E38F8">
            <w:pPr>
              <w:pStyle w:val="ECCTabletext"/>
              <w:rPr>
                <w:rStyle w:val="ECCParagraph"/>
              </w:rPr>
            </w:pPr>
            <w:r w:rsidRPr="00244581">
              <w:rPr>
                <w:rStyle w:val="ECCParagraph"/>
              </w:rPr>
              <w:t>35</w:t>
            </w:r>
          </w:p>
        </w:tc>
        <w:tc>
          <w:tcPr>
            <w:tcW w:w="2835" w:type="dxa"/>
          </w:tcPr>
          <w:p w14:paraId="5FD78537" w14:textId="77777777" w:rsidR="00E5722E" w:rsidRPr="00244581" w:rsidRDefault="00E5722E" w:rsidP="004E38F8">
            <w:pPr>
              <w:pStyle w:val="ECCTabletext"/>
              <w:rPr>
                <w:rStyle w:val="ECCParagraph"/>
              </w:rPr>
            </w:pPr>
            <w:r w:rsidRPr="00244581">
              <w:rPr>
                <w:rStyle w:val="ECCParagraph"/>
              </w:rPr>
              <w:t>0.02</w:t>
            </w:r>
          </w:p>
        </w:tc>
      </w:tr>
      <w:tr w:rsidR="00E04811" w:rsidRPr="00244581" w14:paraId="71518246" w14:textId="77777777" w:rsidTr="00E04811">
        <w:tc>
          <w:tcPr>
            <w:tcW w:w="2371" w:type="dxa"/>
          </w:tcPr>
          <w:p w14:paraId="3050FC4B" w14:textId="77777777" w:rsidR="00E04811" w:rsidRPr="00244581" w:rsidRDefault="00E04811" w:rsidP="004E38F8">
            <w:pPr>
              <w:pStyle w:val="ECCTabletext"/>
              <w:rPr>
                <w:rStyle w:val="ECCParagraph"/>
              </w:rPr>
            </w:pPr>
            <w:r w:rsidRPr="00244581">
              <w:rPr>
                <w:rStyle w:val="ECCParagraph"/>
              </w:rPr>
              <w:t>Industrial zone</w:t>
            </w:r>
          </w:p>
        </w:tc>
        <w:tc>
          <w:tcPr>
            <w:tcW w:w="2586" w:type="dxa"/>
          </w:tcPr>
          <w:p w14:paraId="2DEB8C62" w14:textId="77777777" w:rsidR="00E04811" w:rsidRPr="00244581" w:rsidRDefault="00E04811" w:rsidP="004E38F8">
            <w:pPr>
              <w:pStyle w:val="ECCTabletext"/>
              <w:rPr>
                <w:rStyle w:val="ECCParagraph"/>
              </w:rPr>
            </w:pPr>
            <w:r w:rsidRPr="00244581">
              <w:rPr>
                <w:rStyle w:val="ECCParagraph"/>
              </w:rPr>
              <w:t>20</w:t>
            </w:r>
          </w:p>
        </w:tc>
        <w:tc>
          <w:tcPr>
            <w:tcW w:w="2835" w:type="dxa"/>
          </w:tcPr>
          <w:p w14:paraId="40755BDA" w14:textId="77777777" w:rsidR="00E04811" w:rsidRPr="00244581" w:rsidRDefault="00E5722E" w:rsidP="004E38F8">
            <w:pPr>
              <w:pStyle w:val="ECCTabletext"/>
              <w:rPr>
                <w:rStyle w:val="ECCParagraph"/>
              </w:rPr>
            </w:pPr>
            <w:r w:rsidRPr="00244581">
              <w:rPr>
                <w:rStyle w:val="ECCParagraph"/>
              </w:rPr>
              <w:t>0.05</w:t>
            </w:r>
          </w:p>
        </w:tc>
      </w:tr>
    </w:tbl>
    <w:p w14:paraId="5EFFAD97" w14:textId="77777777" w:rsidR="000F574D" w:rsidRPr="00244581" w:rsidRDefault="000F574D" w:rsidP="00E4620F"/>
    <w:p w14:paraId="11B364EE" w14:textId="77777777" w:rsidR="00A9262D" w:rsidRPr="00244581" w:rsidRDefault="00A9262D" w:rsidP="00A9262D">
      <w:pPr>
        <w:pStyle w:val="Heading3"/>
        <w:rPr>
          <w:lang w:val="en-GB"/>
        </w:rPr>
      </w:pPr>
      <w:r w:rsidRPr="00244581">
        <w:rPr>
          <w:lang w:val="en-GB"/>
        </w:rPr>
        <w:t>Clutter loss (ITU-R P.2108-0)</w:t>
      </w:r>
    </w:p>
    <w:p w14:paraId="2A33C798" w14:textId="77777777" w:rsidR="00A9262D" w:rsidRPr="00244581" w:rsidRDefault="00C06F5A" w:rsidP="00A9262D">
      <w:r w:rsidRPr="00244581">
        <w:t>Clutter loss</w:t>
      </w:r>
      <w:r w:rsidR="00247302" w:rsidRPr="00244581">
        <w:t xml:space="preserve"> result</w:t>
      </w:r>
      <w:r w:rsidRPr="00244581">
        <w:t>, according to ITU-R P.2108-0 Recommendation</w:t>
      </w:r>
      <w:r w:rsidR="00247302" w:rsidRPr="00244581">
        <w:t>, gives a statistical distribution of clutter loss</w:t>
      </w:r>
      <w:r w:rsidR="00113591" w:rsidRPr="00244581">
        <w:t xml:space="preserve"> for urban and suburban environments</w:t>
      </w:r>
      <w:r w:rsidR="00247302" w:rsidRPr="00244581">
        <w:t>. This clutter loss method should not be applied, if a propagation model used in</w:t>
      </w:r>
      <w:r w:rsidR="00B31DEF" w:rsidRPr="00244581">
        <w:t>c</w:t>
      </w:r>
      <w:r w:rsidR="00247302" w:rsidRPr="00244581">
        <w:t xml:space="preserve">ludes clutter losses calculated along entire path. However, model used in this analysis </w:t>
      </w:r>
      <w:r w:rsidR="00806DC2" w:rsidRPr="00244581">
        <w:t xml:space="preserve">takes into account </w:t>
      </w:r>
      <w:r w:rsidR="00247302" w:rsidRPr="00244581">
        <w:t xml:space="preserve">clutter losses only in the end parts of the path. </w:t>
      </w:r>
      <w:r w:rsidR="00C635F3" w:rsidRPr="00244581">
        <w:t xml:space="preserve">Minimum path length has to be 0.25 km (for the correction to be applied at only one end of the path), and 1 km (for the correction to be applied at both end of the path). The clutter loss not exceeded for </w:t>
      </w:r>
      <w:r w:rsidR="00C635F3" w:rsidRPr="00244581">
        <w:rPr>
          <w:i/>
        </w:rPr>
        <w:t>p</w:t>
      </w:r>
      <w:r w:rsidR="00C635F3" w:rsidRPr="00244581">
        <w:t xml:space="preserve">% of locations for the terrestrial path, </w:t>
      </w:r>
      <m:oMath>
        <m:sSub>
          <m:sSubPr>
            <m:ctrlPr>
              <w:rPr>
                <w:rFonts w:ascii="Cambria Math" w:hAnsi="Cambria Math"/>
                <w:i/>
              </w:rPr>
            </m:ctrlPr>
          </m:sSubPr>
          <m:e>
            <m:r>
              <w:rPr>
                <w:rFonts w:ascii="Cambria Math" w:hAnsi="Cambria Math"/>
              </w:rPr>
              <m:t>L</m:t>
            </m:r>
          </m:e>
          <m:sub>
            <m:r>
              <w:rPr>
                <w:rFonts w:ascii="Cambria Math" w:hAnsi="Cambria Math"/>
              </w:rPr>
              <m:t>ctt</m:t>
            </m:r>
          </m:sub>
        </m:sSub>
      </m:oMath>
      <w:r w:rsidR="00C635F3" w:rsidRPr="00244581">
        <w:t>, is given by:</w:t>
      </w:r>
    </w:p>
    <w:p w14:paraId="1F7CD07D" w14:textId="77777777" w:rsidR="00C635F3" w:rsidRPr="00244581" w:rsidRDefault="00244581" w:rsidP="00A9262D">
      <m:oMath>
        <m:sSub>
          <m:sSubPr>
            <m:ctrlPr>
              <w:rPr>
                <w:rFonts w:ascii="Cambria Math" w:hAnsi="Cambria Math"/>
                <w:i/>
              </w:rPr>
            </m:ctrlPr>
          </m:sSubPr>
          <m:e>
            <m:r>
              <w:rPr>
                <w:rFonts w:ascii="Cambria Math" w:hAnsi="Cambria Math"/>
              </w:rPr>
              <m:t>L</m:t>
            </m:r>
          </m:e>
          <m:sub>
            <m:r>
              <w:rPr>
                <w:rFonts w:ascii="Cambria Math" w:hAnsi="Cambria Math"/>
              </w:rPr>
              <m:t>ctt</m:t>
            </m:r>
          </m:sub>
        </m:sSub>
        <m:r>
          <w:rPr>
            <w:rFonts w:ascii="Cambria Math" w:hAnsi="Cambria Math"/>
          </w:rPr>
          <m:t>=-5</m:t>
        </m:r>
        <m:func>
          <m:funcPr>
            <m:ctrlPr>
              <w:rPr>
                <w:rFonts w:ascii="Cambria Math" w:hAnsi="Cambria Math"/>
                <w:i/>
              </w:rPr>
            </m:ctrlPr>
          </m:funcPr>
          <m:fName>
            <m:r>
              <m:rPr>
                <m:sty m:val="p"/>
              </m:rPr>
              <w:rPr>
                <w:rFonts w:ascii="Cambria Math" w:hAnsi="Cambria Math"/>
              </w:rPr>
              <m:t>log</m:t>
            </m:r>
          </m:fName>
          <m:e>
            <m:d>
              <m:dPr>
                <m:ctrlPr>
                  <w:rPr>
                    <w:rFonts w:ascii="Cambria Math" w:hAnsi="Cambria Math"/>
                    <w:i/>
                  </w:rPr>
                </m:ctrlPr>
              </m:dPr>
              <m:e>
                <m:sSup>
                  <m:sSupPr>
                    <m:ctrlPr>
                      <w:rPr>
                        <w:rFonts w:ascii="Cambria Math" w:hAnsi="Cambria Math"/>
                        <w:i/>
                      </w:rPr>
                    </m:ctrlPr>
                  </m:sSupPr>
                  <m:e>
                    <m:r>
                      <w:rPr>
                        <w:rFonts w:ascii="Cambria Math" w:hAnsi="Cambria Math"/>
                      </w:rPr>
                      <m:t>10</m:t>
                    </m:r>
                  </m:e>
                  <m:sup>
                    <m:r>
                      <w:rPr>
                        <w:rFonts w:ascii="Cambria Math" w:hAnsi="Cambria Math"/>
                      </w:rPr>
                      <m:t>-0.2</m:t>
                    </m:r>
                    <m:sSub>
                      <m:sSubPr>
                        <m:ctrlPr>
                          <w:rPr>
                            <w:rFonts w:ascii="Cambria Math" w:hAnsi="Cambria Math"/>
                            <w:i/>
                          </w:rPr>
                        </m:ctrlPr>
                      </m:sSubPr>
                      <m:e>
                        <m:r>
                          <w:rPr>
                            <w:rFonts w:ascii="Cambria Math" w:hAnsi="Cambria Math"/>
                          </w:rPr>
                          <m:t>L</m:t>
                        </m:r>
                      </m:e>
                      <m:sub>
                        <m:r>
                          <w:rPr>
                            <w:rFonts w:ascii="Cambria Math" w:hAnsi="Cambria Math"/>
                          </w:rPr>
                          <m:t>l</m:t>
                        </m:r>
                      </m:sub>
                    </m:sSub>
                  </m:sup>
                </m:sSup>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-0.2</m:t>
                    </m:r>
                    <m:sSub>
                      <m:sSubPr>
                        <m:ctrlPr>
                          <w:rPr>
                            <w:rFonts w:ascii="Cambria Math" w:hAnsi="Cambria Math"/>
                            <w:i/>
                          </w:rPr>
                        </m:ctrlPr>
                      </m:sSubPr>
                      <m:e>
                        <m:r>
                          <w:rPr>
                            <w:rFonts w:ascii="Cambria Math" w:hAnsi="Cambria Math"/>
                          </w:rPr>
                          <m:t>L</m:t>
                        </m:r>
                      </m:e>
                      <m:sub>
                        <m:r>
                          <w:rPr>
                            <w:rFonts w:ascii="Cambria Math" w:hAnsi="Cambria Math"/>
                          </w:rPr>
                          <m:t>s</m:t>
                        </m:r>
                      </m:sub>
                    </m:sSub>
                  </m:sup>
                </m:sSup>
              </m:e>
            </m:d>
            <m:r>
              <w:rPr>
                <w:rFonts w:ascii="Cambria Math" w:hAnsi="Cambria Math"/>
              </w:rPr>
              <m:t>-6</m:t>
            </m:r>
            <m:sSup>
              <m:sSupPr>
                <m:ctrlPr>
                  <w:rPr>
                    <w:rFonts w:ascii="Cambria Math" w:hAnsi="Cambria Math"/>
                    <w:i/>
                  </w:rPr>
                </m:ctrlPr>
              </m:sSupPr>
              <m:e>
                <m:r>
                  <w:rPr>
                    <w:rFonts w:ascii="Cambria Math" w:hAnsi="Cambria Math"/>
                  </w:rPr>
                  <m:t>Q</m:t>
                </m:r>
              </m:e>
              <m:sup>
                <m:r>
                  <w:rPr>
                    <w:rFonts w:ascii="Cambria Math" w:hAnsi="Cambria Math"/>
                  </w:rPr>
                  <m:t>-1</m:t>
                </m:r>
              </m:sup>
            </m:sSup>
          </m:e>
        </m:func>
        <m:r>
          <w:rPr>
            <w:rFonts w:ascii="Cambria Math" w:hAnsi="Cambria Math"/>
          </w:rPr>
          <m:t>(p/100)</m:t>
        </m:r>
      </m:oMath>
      <w:r w:rsidR="00C635F3" w:rsidRPr="00244581">
        <w:t xml:space="preserve">  [dB]</w:t>
      </w:r>
    </w:p>
    <w:p w14:paraId="1256FCB7" w14:textId="77777777" w:rsidR="00C635F3" w:rsidRPr="00244581" w:rsidRDefault="00C635F3" w:rsidP="00A9262D">
      <w:r w:rsidRPr="00244581">
        <w:t xml:space="preserve">Where </w:t>
      </w:r>
      <m:oMath>
        <m:sSup>
          <m:sSupPr>
            <m:ctrlPr>
              <w:rPr>
                <w:rFonts w:ascii="Cambria Math" w:hAnsi="Cambria Math"/>
                <w:i/>
              </w:rPr>
            </m:ctrlPr>
          </m:sSupPr>
          <m:e>
            <m:r>
              <w:rPr>
                <w:rFonts w:ascii="Cambria Math" w:hAnsi="Cambria Math"/>
              </w:rPr>
              <m:t>Q</m:t>
            </m:r>
          </m:e>
          <m:sup>
            <m:r>
              <w:rPr>
                <w:rFonts w:ascii="Cambria Math" w:hAnsi="Cambria Math"/>
              </w:rPr>
              <m:t>-1</m:t>
            </m:r>
          </m:sup>
        </m:sSup>
        <m:r>
          <w:rPr>
            <w:rFonts w:ascii="Cambria Math" w:hAnsi="Cambria Math"/>
          </w:rPr>
          <m:t>(p/100)</m:t>
        </m:r>
      </m:oMath>
      <w:r w:rsidR="00376664" w:rsidRPr="00244581">
        <w:t xml:space="preserve"> is the inverse complementary normal distribution function, and</w:t>
      </w:r>
    </w:p>
    <w:p w14:paraId="2E29BFE3" w14:textId="77777777" w:rsidR="00376664" w:rsidRPr="00244581" w:rsidRDefault="00244581" w:rsidP="00A9262D">
      <m:oMath>
        <m:sSub>
          <m:sSubPr>
            <m:ctrlPr>
              <w:rPr>
                <w:rFonts w:ascii="Cambria Math" w:hAnsi="Cambria Math"/>
                <w:i/>
              </w:rPr>
            </m:ctrlPr>
          </m:sSubPr>
          <m:e>
            <m:r>
              <w:rPr>
                <w:rFonts w:ascii="Cambria Math" w:hAnsi="Cambria Math"/>
              </w:rPr>
              <m:t>L</m:t>
            </m:r>
          </m:e>
          <m:sub>
            <m:r>
              <w:rPr>
                <w:rFonts w:ascii="Cambria Math" w:hAnsi="Cambria Math"/>
              </w:rPr>
              <m:t>l</m:t>
            </m:r>
          </m:sub>
        </m:sSub>
        <m:r>
          <w:rPr>
            <w:rFonts w:ascii="Cambria Math" w:hAnsi="Cambria Math"/>
          </w:rPr>
          <m:t>=23.5+9.6</m:t>
        </m:r>
        <m:func>
          <m:funcPr>
            <m:ctrlPr>
              <w:rPr>
                <w:rFonts w:ascii="Cambria Math" w:hAnsi="Cambria Math"/>
                <w:i/>
              </w:rPr>
            </m:ctrlPr>
          </m:funcPr>
          <m:fName>
            <m:r>
              <m:rPr>
                <m:sty m:val="p"/>
              </m:rPr>
              <w:rPr>
                <w:rFonts w:ascii="Cambria Math" w:hAnsi="Cambria Math"/>
              </w:rPr>
              <m:t>log</m:t>
            </m:r>
          </m:fName>
          <m:e>
            <m:r>
              <w:rPr>
                <w:rFonts w:ascii="Cambria Math" w:hAnsi="Cambria Math"/>
              </w:rPr>
              <m:t>(f)</m:t>
            </m:r>
          </m:e>
        </m:func>
      </m:oMath>
      <w:r w:rsidR="00376664" w:rsidRPr="00244581">
        <w:t xml:space="preserve">  [dB]</w:t>
      </w:r>
    </w:p>
    <w:p w14:paraId="12B34547" w14:textId="77777777" w:rsidR="00376664" w:rsidRPr="00244581" w:rsidRDefault="00244581" w:rsidP="00A9262D">
      <m:oMath>
        <m:sSub>
          <m:sSubPr>
            <m:ctrlPr>
              <w:rPr>
                <w:rFonts w:ascii="Cambria Math" w:hAnsi="Cambria Math"/>
                <w:i/>
              </w:rPr>
            </m:ctrlPr>
          </m:sSubPr>
          <m:e>
            <m:r>
              <w:rPr>
                <w:rFonts w:ascii="Cambria Math" w:hAnsi="Cambria Math"/>
              </w:rPr>
              <m:t>L</m:t>
            </m:r>
          </m:e>
          <m:sub>
            <m:r>
              <w:rPr>
                <w:rFonts w:ascii="Cambria Math" w:hAnsi="Cambria Math"/>
              </w:rPr>
              <m:t>s</m:t>
            </m:r>
          </m:sub>
        </m:sSub>
        <m:r>
          <w:rPr>
            <w:rFonts w:ascii="Cambria Math" w:hAnsi="Cambria Math"/>
          </w:rPr>
          <m:t>=32.98+23.9</m:t>
        </m:r>
        <m:func>
          <m:funcPr>
            <m:ctrlPr>
              <w:rPr>
                <w:rFonts w:ascii="Cambria Math" w:hAnsi="Cambria Math"/>
                <w:i/>
              </w:rPr>
            </m:ctrlPr>
          </m:funcPr>
          <m:fName>
            <m:r>
              <m:rPr>
                <m:sty m:val="p"/>
              </m:rPr>
              <w:rPr>
                <w:rFonts w:ascii="Cambria Math" w:hAnsi="Cambria Math"/>
              </w:rPr>
              <m:t>log</m:t>
            </m:r>
          </m:fName>
          <m:e>
            <m:r>
              <w:rPr>
                <w:rFonts w:ascii="Cambria Math" w:hAnsi="Cambria Math"/>
              </w:rPr>
              <m:t>(d)</m:t>
            </m:r>
          </m:e>
        </m:func>
        <m:r>
          <w:rPr>
            <w:rFonts w:ascii="Cambria Math" w:hAnsi="Cambria Math"/>
          </w:rPr>
          <m:t>+3</m:t>
        </m:r>
        <m:func>
          <m:funcPr>
            <m:ctrlPr>
              <w:rPr>
                <w:rFonts w:ascii="Cambria Math" w:hAnsi="Cambria Math"/>
                <w:i/>
              </w:rPr>
            </m:ctrlPr>
          </m:funcPr>
          <m:fName>
            <m:r>
              <m:rPr>
                <m:sty m:val="p"/>
              </m:rPr>
              <w:rPr>
                <w:rFonts w:ascii="Cambria Math" w:hAnsi="Cambria Math"/>
              </w:rPr>
              <m:t>log</m:t>
            </m:r>
          </m:fName>
          <m:e>
            <m:r>
              <w:rPr>
                <w:rFonts w:ascii="Cambria Math" w:hAnsi="Cambria Math"/>
              </w:rPr>
              <m:t>(f)</m:t>
            </m:r>
          </m:e>
        </m:func>
      </m:oMath>
      <w:r w:rsidR="00376664" w:rsidRPr="00244581">
        <w:t xml:space="preserve"> [dB]</w:t>
      </w:r>
    </w:p>
    <w:p w14:paraId="02757828" w14:textId="77777777" w:rsidR="00376664" w:rsidRPr="00244581" w:rsidRDefault="00376664" w:rsidP="00A9262D">
      <w:r w:rsidRPr="00244581">
        <w:t xml:space="preserve">Where </w:t>
      </w:r>
      <w:r w:rsidRPr="00244581">
        <w:rPr>
          <w:i/>
        </w:rPr>
        <w:t>d</w:t>
      </w:r>
      <w:r w:rsidRPr="00244581">
        <w:t xml:space="preserve"> is the total path length.</w:t>
      </w:r>
      <w:r w:rsidR="00190FC1" w:rsidRPr="00244581">
        <w:t xml:space="preserve"> </w:t>
      </w:r>
    </w:p>
    <w:p w14:paraId="6F8F5552" w14:textId="77777777" w:rsidR="000349FE" w:rsidRPr="00244581" w:rsidRDefault="000349FE" w:rsidP="000349FE"/>
    <w:p w14:paraId="68C90CDF" w14:textId="77777777" w:rsidR="004A161B" w:rsidRPr="00244581" w:rsidRDefault="004A161B" w:rsidP="004A161B">
      <w:pPr>
        <w:pStyle w:val="Heading2"/>
        <w:rPr>
          <w:lang w:val="en-GB"/>
        </w:rPr>
      </w:pPr>
      <w:r w:rsidRPr="00244581">
        <w:rPr>
          <w:lang w:val="en-GB"/>
        </w:rPr>
        <w:t>Results of FS and FSS compatibility analysis</w:t>
      </w:r>
    </w:p>
    <w:p w14:paraId="03FFAEF1" w14:textId="77777777" w:rsidR="00430720" w:rsidRPr="00244581" w:rsidRDefault="00EE234A" w:rsidP="00EE234A">
      <w:r w:rsidRPr="00244581">
        <w:fldChar w:fldCharType="begin"/>
      </w:r>
      <w:r w:rsidRPr="00244581">
        <w:instrText xml:space="preserve"> REF _Ref5299859 \h </w:instrText>
      </w:r>
      <w:r w:rsidRPr="00244581">
        <w:fldChar w:fldCharType="separate"/>
      </w:r>
      <w:r w:rsidRPr="00244581">
        <w:t xml:space="preserve">Figure </w:t>
      </w:r>
      <w:r w:rsidRPr="00244581">
        <w:rPr>
          <w:noProof/>
        </w:rPr>
        <w:t>6</w:t>
      </w:r>
      <w:r w:rsidRPr="00244581">
        <w:fldChar w:fldCharType="end"/>
      </w:r>
      <w:r w:rsidR="00401E5B" w:rsidRPr="00244581">
        <w:t xml:space="preserve"> illustrates the comparison between interference evaluation calculations with </w:t>
      </w:r>
      <w:r w:rsidR="00806DC2" w:rsidRPr="00244581">
        <w:t xml:space="preserve">the </w:t>
      </w:r>
      <w:r w:rsidR="00401E5B" w:rsidRPr="00244581">
        <w:t>different clutter loss calculation methods applied.</w:t>
      </w:r>
      <w:r w:rsidR="00430720" w:rsidRPr="00244581">
        <w:t xml:space="preserve"> The figure shows overall interference probability of 10 000 Monte Carlo simulation runs. </w:t>
      </w:r>
    </w:p>
    <w:p w14:paraId="02E7048F" w14:textId="77777777" w:rsidR="00EE234A" w:rsidRPr="00244581" w:rsidRDefault="00401E5B" w:rsidP="00EE234A">
      <w:r w:rsidRPr="00244581">
        <w:t xml:space="preserve"> Me</w:t>
      </w:r>
      <w:r w:rsidR="00A665BD" w:rsidRPr="00244581">
        <w:t>thod</w:t>
      </w:r>
      <w:r w:rsidRPr="00244581">
        <w:t xml:space="preserve"> with no clutter losses applied</w:t>
      </w:r>
      <w:r w:rsidR="00A665BD" w:rsidRPr="00244581">
        <w:t xml:space="preserve"> (dark red line)</w:t>
      </w:r>
      <w:r w:rsidRPr="00244581">
        <w:t xml:space="preserve"> </w:t>
      </w:r>
      <w:r w:rsidR="00A665BD" w:rsidRPr="00244581">
        <w:t>shows the biggest interference probability of more than 10%. Clutter losses implemented in ITU-R P.452-16 model show similar tendencies like calculations without clutter losses (green</w:t>
      </w:r>
      <w:r w:rsidR="00430720" w:rsidRPr="00244581">
        <w:t xml:space="preserve"> line for Suburban type of clutter</w:t>
      </w:r>
      <w:r w:rsidR="00A665BD" w:rsidRPr="00244581">
        <w:t xml:space="preserve"> and orange </w:t>
      </w:r>
      <w:r w:rsidR="00430720" w:rsidRPr="00244581">
        <w:t>for Urban</w:t>
      </w:r>
      <w:r w:rsidR="00A665BD" w:rsidRPr="00244581">
        <w:t xml:space="preserve">). </w:t>
      </w:r>
      <w:r w:rsidR="005F2610" w:rsidRPr="00244581">
        <w:t xml:space="preserve">For further investigation we </w:t>
      </w:r>
      <w:r w:rsidR="00430720" w:rsidRPr="00244581">
        <w:t>used ITU-R P.2108-0 Recommendation for clutter loss prediction along with ITU-R P.452-16 propagation model. This method shows very small interference probability (about 0,15%)</w:t>
      </w:r>
      <w:r w:rsidR="00A9262D" w:rsidRPr="00244581">
        <w:t xml:space="preserve">. </w:t>
      </w:r>
    </w:p>
    <w:p w14:paraId="73A68D7B" w14:textId="77777777" w:rsidR="004A161B" w:rsidRPr="00244581" w:rsidRDefault="00790B15" w:rsidP="004A161B">
      <w:pPr>
        <w:keepNext/>
      </w:pPr>
      <w:r w:rsidRPr="00244581">
        <w:rPr>
          <w:noProof/>
          <w:lang w:eastAsia="fr-FR"/>
        </w:rPr>
        <w:lastRenderedPageBreak/>
        <w:drawing>
          <wp:inline distT="0" distB="0" distL="0" distR="0" wp14:anchorId="1870237C" wp14:editId="210E1627">
            <wp:extent cx="5943600" cy="29127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2912745"/>
                    </a:xfrm>
                    <a:prstGeom prst="rect">
                      <a:avLst/>
                    </a:prstGeom>
                  </pic:spPr>
                </pic:pic>
              </a:graphicData>
            </a:graphic>
          </wp:inline>
        </w:drawing>
      </w:r>
    </w:p>
    <w:p w14:paraId="578E95FB" w14:textId="77777777" w:rsidR="004A161B" w:rsidRPr="00244581" w:rsidRDefault="004A161B" w:rsidP="004A161B">
      <w:pPr>
        <w:pStyle w:val="Caption"/>
        <w:jc w:val="both"/>
        <w:rPr>
          <w:lang w:val="en-GB"/>
        </w:rPr>
      </w:pPr>
      <w:bookmarkStart w:id="12" w:name="_Ref5299859"/>
      <w:r w:rsidRPr="00244581">
        <w:rPr>
          <w:lang w:val="en-GB"/>
        </w:rPr>
        <w:t xml:space="preserve">Figure </w:t>
      </w:r>
      <w:r w:rsidRPr="00244581">
        <w:rPr>
          <w:lang w:val="en-GB"/>
        </w:rPr>
        <w:fldChar w:fldCharType="begin"/>
      </w:r>
      <w:r w:rsidRPr="00244581">
        <w:rPr>
          <w:lang w:val="en-GB"/>
        </w:rPr>
        <w:instrText xml:space="preserve"> SEQ Figure \* ARABIC </w:instrText>
      </w:r>
      <w:r w:rsidRPr="00244581">
        <w:rPr>
          <w:lang w:val="en-GB"/>
        </w:rPr>
        <w:fldChar w:fldCharType="separate"/>
      </w:r>
      <w:r w:rsidR="0094489B" w:rsidRPr="00244581">
        <w:rPr>
          <w:noProof/>
          <w:lang w:val="en-GB"/>
        </w:rPr>
        <w:t>6</w:t>
      </w:r>
      <w:r w:rsidRPr="00244581">
        <w:rPr>
          <w:lang w:val="en-GB"/>
        </w:rPr>
        <w:fldChar w:fldCharType="end"/>
      </w:r>
      <w:bookmarkEnd w:id="12"/>
      <w:r w:rsidRPr="00244581">
        <w:rPr>
          <w:lang w:val="en-GB"/>
        </w:rPr>
        <w:t xml:space="preserve"> Interference probability CCDF</w:t>
      </w:r>
      <w:r w:rsidR="000349FE" w:rsidRPr="00244581">
        <w:rPr>
          <w:lang w:val="en-GB"/>
        </w:rPr>
        <w:t xml:space="preserve"> for </w:t>
      </w:r>
      <w:r w:rsidR="00136441" w:rsidRPr="00244581">
        <w:rPr>
          <w:lang w:val="en-GB"/>
        </w:rPr>
        <w:t>different clutter types</w:t>
      </w:r>
    </w:p>
    <w:p w14:paraId="141C9720" w14:textId="77777777" w:rsidR="00D53079" w:rsidRPr="00244581" w:rsidRDefault="00D53079" w:rsidP="00D53079"/>
    <w:p w14:paraId="27DE7168" w14:textId="77777777" w:rsidR="00D53079" w:rsidRPr="00244581" w:rsidRDefault="00D53079" w:rsidP="00D53079">
      <w:pPr>
        <w:pStyle w:val="Heading2"/>
        <w:rPr>
          <w:lang w:val="en-GB"/>
        </w:rPr>
      </w:pPr>
      <w:r w:rsidRPr="00244581">
        <w:rPr>
          <w:lang w:val="en-GB"/>
        </w:rPr>
        <w:t>Conclusions</w:t>
      </w:r>
    </w:p>
    <w:p w14:paraId="1BB160E6" w14:textId="77777777" w:rsidR="00620740" w:rsidRPr="00244581" w:rsidRDefault="00634A84" w:rsidP="00D53079">
      <w:r w:rsidRPr="00244581">
        <w:t>FS and FSS ES compatibility analysis w</w:t>
      </w:r>
      <w:r w:rsidR="00620740" w:rsidRPr="00244581">
        <w:t>ere</w:t>
      </w:r>
      <w:r w:rsidRPr="00244581">
        <w:t xml:space="preserve"> performed </w:t>
      </w:r>
      <w:r w:rsidR="00F32499" w:rsidRPr="00244581">
        <w:t xml:space="preserve">for the real case scenario, taking into account existing microwave links operating in 28 GHz band in Vilnius </w:t>
      </w:r>
      <w:r w:rsidR="00620740" w:rsidRPr="00244581">
        <w:t>city</w:t>
      </w:r>
      <w:r w:rsidR="00F32499" w:rsidRPr="00244581">
        <w:t xml:space="preserve"> </w:t>
      </w:r>
      <w:r w:rsidRPr="00244581">
        <w:t xml:space="preserve">using propagation model defined in ITU-R </w:t>
      </w:r>
      <w:r w:rsidR="00E4620F" w:rsidRPr="00244581">
        <w:t xml:space="preserve">Recommendation </w:t>
      </w:r>
      <w:r w:rsidRPr="00244581">
        <w:t xml:space="preserve">P.452. </w:t>
      </w:r>
    </w:p>
    <w:p w14:paraId="7EDF2148" w14:textId="77777777" w:rsidR="00634A84" w:rsidRPr="00244581" w:rsidRDefault="00620740" w:rsidP="00D53079">
      <w:r w:rsidRPr="00244581">
        <w:t>Two d</w:t>
      </w:r>
      <w:r w:rsidR="00634A84" w:rsidRPr="00244581">
        <w:t xml:space="preserve">ifferent </w:t>
      </w:r>
      <w:r w:rsidRPr="00244581">
        <w:t xml:space="preserve">clutter evaluation </w:t>
      </w:r>
      <w:r w:rsidR="00634A84" w:rsidRPr="00244581">
        <w:t>methods were applied</w:t>
      </w:r>
      <w:r w:rsidRPr="00244581">
        <w:t xml:space="preserve"> resulting in different interference probability</w:t>
      </w:r>
      <w:r w:rsidR="001D048A" w:rsidRPr="00244581">
        <w:t xml:space="preserve">. </w:t>
      </w:r>
      <w:r w:rsidR="00A508FE" w:rsidRPr="00244581">
        <w:t>In the case when clutter losses calculated according to the ITU-R Recommendation P.452 it shows high interference probability from a single FSS ES to FS receiver.</w:t>
      </w:r>
    </w:p>
    <w:p w14:paraId="510CBD2B" w14:textId="77777777" w:rsidR="00A508FE" w:rsidRPr="00244581" w:rsidRDefault="00A508FE" w:rsidP="00D53079">
      <w:r w:rsidRPr="00244581">
        <w:t>This document presented interference calculations from FSS ES to point-to-point links only. Interference from FSS ES to P-MP was not evaluated in this document due to the lack of time.</w:t>
      </w:r>
    </w:p>
    <w:p w14:paraId="70C1F7C1" w14:textId="77777777" w:rsidR="00393648" w:rsidRPr="00244581" w:rsidRDefault="00393648" w:rsidP="000F574D"/>
    <w:p w14:paraId="5C4A9ED9" w14:textId="77777777" w:rsidR="000F574D" w:rsidRPr="00244581" w:rsidRDefault="000F574D" w:rsidP="00393648">
      <w:pPr>
        <w:spacing w:before="0" w:after="160" w:line="259" w:lineRule="auto"/>
        <w:jc w:val="left"/>
      </w:pPr>
      <w:r w:rsidRPr="00244581">
        <w:br w:type="page"/>
      </w:r>
    </w:p>
    <w:p w14:paraId="35BCCEDD" w14:textId="77777777" w:rsidR="00D57F96" w:rsidRPr="00244581" w:rsidRDefault="000F574D" w:rsidP="000F574D">
      <w:pPr>
        <w:pStyle w:val="Heading2"/>
        <w:rPr>
          <w:lang w:val="en-GB"/>
        </w:rPr>
      </w:pPr>
      <w:bookmarkStart w:id="13" w:name="_Ref5282971"/>
      <w:r w:rsidRPr="00244581">
        <w:rPr>
          <w:lang w:val="en-GB"/>
        </w:rPr>
        <w:lastRenderedPageBreak/>
        <w:t>ANNEX 1</w:t>
      </w:r>
      <w:bookmarkEnd w:id="13"/>
    </w:p>
    <w:p w14:paraId="2758BA92" w14:textId="77777777" w:rsidR="000F574D" w:rsidRPr="00244581" w:rsidRDefault="000F574D" w:rsidP="000F574D">
      <w:r w:rsidRPr="00244581">
        <w:t xml:space="preserve">Python </w:t>
      </w:r>
      <w:proofErr w:type="spellStart"/>
      <w:r w:rsidRPr="00244581">
        <w:t>pycraf</w:t>
      </w:r>
      <w:proofErr w:type="spellEnd"/>
      <w:r w:rsidRPr="00244581">
        <w:t xml:space="preserve"> library </w:t>
      </w:r>
      <w:proofErr w:type="spellStart"/>
      <w:r w:rsidRPr="00244581">
        <w:t>pathprof</w:t>
      </w:r>
      <w:proofErr w:type="spellEnd"/>
      <w:r w:rsidRPr="00244581">
        <w:t xml:space="preserve"> </w:t>
      </w:r>
      <w:proofErr w:type="spellStart"/>
      <w:r w:rsidRPr="00244581">
        <w:t>subpackage</w:t>
      </w:r>
      <w:proofErr w:type="spellEnd"/>
      <w:r w:rsidRPr="00244581">
        <w:t xml:space="preserve"> offers tools to calculate propagation loss. The important parameters that determine propagation loss are radio wave frequency, distance between transmitter and receiver, antenna gain, boresight angles, and the terrain profile between transmitter and receiver. For short distances, the line-of-sight radio wave propagation mechanism is principal. However, for longer distances, where the profile is trans-horizon, other mechanisms could play a significant role. These mechanisms are diffraction loss, clutter loss, tropospheric scatter loss, ducting and anomalous layer refraction loss.</w:t>
      </w:r>
    </w:p>
    <w:p w14:paraId="11FA350E" w14:textId="77777777" w:rsidR="000F574D" w:rsidRPr="00244581" w:rsidRDefault="000F574D" w:rsidP="000F574D">
      <w:r w:rsidRPr="00244581">
        <w:t>Height profiles are pictured by querying SRTM data and plotting a height profile:</w:t>
      </w:r>
    </w:p>
    <w:p w14:paraId="46D20E89" w14:textId="77777777" w:rsidR="000F574D" w:rsidRPr="00244581" w:rsidRDefault="000F574D" w:rsidP="000F574D">
      <w:r w:rsidRPr="00244581">
        <w:rPr>
          <w:noProof/>
          <w:lang w:eastAsia="fr-FR"/>
        </w:rPr>
        <w:drawing>
          <wp:inline distT="0" distB="0" distL="0" distR="0" wp14:anchorId="3474A24C" wp14:editId="79830610">
            <wp:extent cx="4678326" cy="5272570"/>
            <wp:effectExtent l="0" t="0" r="8255"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680110" cy="5274581"/>
                    </a:xfrm>
                    <a:prstGeom prst="rect">
                      <a:avLst/>
                    </a:prstGeom>
                  </pic:spPr>
                </pic:pic>
              </a:graphicData>
            </a:graphic>
          </wp:inline>
        </w:drawing>
      </w:r>
    </w:p>
    <w:p w14:paraId="03847D4F" w14:textId="77777777" w:rsidR="000F574D" w:rsidRPr="00244581" w:rsidRDefault="000F574D" w:rsidP="000F574D">
      <w:r w:rsidRPr="00244581">
        <w:t xml:space="preserve">The </w:t>
      </w:r>
      <w:proofErr w:type="spellStart"/>
      <w:r w:rsidRPr="00244581">
        <w:t>pathprof</w:t>
      </w:r>
      <w:proofErr w:type="spellEnd"/>
      <w:r w:rsidRPr="00244581">
        <w:t xml:space="preserve"> package implements ITU-R P.452-16 Recommendation for path propagation loss calculations. </w:t>
      </w:r>
      <w:proofErr w:type="spellStart"/>
      <w:r w:rsidRPr="00244581">
        <w:t>atten_path_fast</w:t>
      </w:r>
      <w:proofErr w:type="spellEnd"/>
      <w:r w:rsidRPr="00244581">
        <w:t xml:space="preserve"> function implements path attenuation calculations along a path using a parallelized method.</w:t>
      </w:r>
    </w:p>
    <w:p w14:paraId="0CC7E385" w14:textId="77777777" w:rsidR="000F574D" w:rsidRPr="00244581" w:rsidRDefault="000F574D" w:rsidP="000F574D">
      <w:r w:rsidRPr="00244581">
        <w:rPr>
          <w:noProof/>
          <w:lang w:eastAsia="fr-FR"/>
        </w:rPr>
        <w:lastRenderedPageBreak/>
        <w:drawing>
          <wp:inline distT="0" distB="0" distL="0" distR="0" wp14:anchorId="328C8674" wp14:editId="540EE6AF">
            <wp:extent cx="3827145" cy="5429250"/>
            <wp:effectExtent l="0" t="0" r="190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t="-1" b="891"/>
                    <a:stretch/>
                  </pic:blipFill>
                  <pic:spPr bwMode="auto">
                    <a:xfrm>
                      <a:off x="0" y="0"/>
                      <a:ext cx="3825805" cy="5427349"/>
                    </a:xfrm>
                    <a:prstGeom prst="rect">
                      <a:avLst/>
                    </a:prstGeom>
                    <a:ln>
                      <a:noFill/>
                    </a:ln>
                    <a:extLst>
                      <a:ext uri="{53640926-AAD7-44D8-BBD7-CCE9431645EC}">
                        <a14:shadowObscured xmlns:a14="http://schemas.microsoft.com/office/drawing/2010/main"/>
                      </a:ext>
                    </a:extLst>
                  </pic:spPr>
                </pic:pic>
              </a:graphicData>
            </a:graphic>
          </wp:inline>
        </w:drawing>
      </w:r>
    </w:p>
    <w:p w14:paraId="6B70120C" w14:textId="77777777" w:rsidR="000F574D" w:rsidRPr="00244581" w:rsidRDefault="000F574D" w:rsidP="000F574D"/>
    <w:sectPr w:rsidR="000F574D" w:rsidRPr="0024458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77CD6"/>
    <w:multiLevelType w:val="hybridMultilevel"/>
    <w:tmpl w:val="3A36B7E4"/>
    <w:lvl w:ilvl="0" w:tplc="4716A9A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584F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21F1CF5"/>
    <w:multiLevelType w:val="multilevel"/>
    <w:tmpl w:val="E9B2F380"/>
    <w:lvl w:ilvl="0">
      <w:start w:val="1"/>
      <w:numFmt w:val="decimal"/>
      <w:pStyle w:val="Styl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33B22A7"/>
    <w:multiLevelType w:val="multilevel"/>
    <w:tmpl w:val="57B29D20"/>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46B362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797247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FD101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07036D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4"/>
  </w:num>
  <w:num w:numId="4">
    <w:abstractNumId w:val="6"/>
  </w:num>
  <w:num w:numId="5">
    <w:abstractNumId w:val="2"/>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7F96"/>
    <w:rsid w:val="000349FE"/>
    <w:rsid w:val="000656CE"/>
    <w:rsid w:val="000A4A00"/>
    <w:rsid w:val="000B5BB5"/>
    <w:rsid w:val="000E42BE"/>
    <w:rsid w:val="000F2CDD"/>
    <w:rsid w:val="000F574D"/>
    <w:rsid w:val="00104680"/>
    <w:rsid w:val="00113591"/>
    <w:rsid w:val="00136441"/>
    <w:rsid w:val="00137F4D"/>
    <w:rsid w:val="00165015"/>
    <w:rsid w:val="00190FC1"/>
    <w:rsid w:val="001923B2"/>
    <w:rsid w:val="001B32BF"/>
    <w:rsid w:val="001D048A"/>
    <w:rsid w:val="001E578F"/>
    <w:rsid w:val="0020389B"/>
    <w:rsid w:val="00244581"/>
    <w:rsid w:val="00247302"/>
    <w:rsid w:val="002656DA"/>
    <w:rsid w:val="002B5E23"/>
    <w:rsid w:val="002E2C16"/>
    <w:rsid w:val="00376664"/>
    <w:rsid w:val="00393648"/>
    <w:rsid w:val="003C5DD2"/>
    <w:rsid w:val="00401E5B"/>
    <w:rsid w:val="00404AFE"/>
    <w:rsid w:val="004162E1"/>
    <w:rsid w:val="00417F82"/>
    <w:rsid w:val="00430720"/>
    <w:rsid w:val="004A161B"/>
    <w:rsid w:val="004A1E85"/>
    <w:rsid w:val="004A4E4B"/>
    <w:rsid w:val="004C73C4"/>
    <w:rsid w:val="004E38F8"/>
    <w:rsid w:val="00516DEB"/>
    <w:rsid w:val="00532E5F"/>
    <w:rsid w:val="005757A3"/>
    <w:rsid w:val="005A3417"/>
    <w:rsid w:val="005F2610"/>
    <w:rsid w:val="00620740"/>
    <w:rsid w:val="00634A84"/>
    <w:rsid w:val="0064363C"/>
    <w:rsid w:val="00660A1F"/>
    <w:rsid w:val="006E2DD3"/>
    <w:rsid w:val="00731762"/>
    <w:rsid w:val="00762EA4"/>
    <w:rsid w:val="0076497B"/>
    <w:rsid w:val="00782160"/>
    <w:rsid w:val="00790B15"/>
    <w:rsid w:val="007936A1"/>
    <w:rsid w:val="00806DC2"/>
    <w:rsid w:val="008228D9"/>
    <w:rsid w:val="00875B19"/>
    <w:rsid w:val="00895182"/>
    <w:rsid w:val="00924B38"/>
    <w:rsid w:val="0094489B"/>
    <w:rsid w:val="0098042D"/>
    <w:rsid w:val="009A369A"/>
    <w:rsid w:val="009A6456"/>
    <w:rsid w:val="00A508FE"/>
    <w:rsid w:val="00A64FDF"/>
    <w:rsid w:val="00A665BD"/>
    <w:rsid w:val="00A9262D"/>
    <w:rsid w:val="00AE2D36"/>
    <w:rsid w:val="00B31DEF"/>
    <w:rsid w:val="00B72166"/>
    <w:rsid w:val="00BF2981"/>
    <w:rsid w:val="00BF59B3"/>
    <w:rsid w:val="00BF7F02"/>
    <w:rsid w:val="00C06F5A"/>
    <w:rsid w:val="00C15C72"/>
    <w:rsid w:val="00C635F3"/>
    <w:rsid w:val="00C6383B"/>
    <w:rsid w:val="00CA3F66"/>
    <w:rsid w:val="00CC16B0"/>
    <w:rsid w:val="00CC36E7"/>
    <w:rsid w:val="00D53079"/>
    <w:rsid w:val="00D57F96"/>
    <w:rsid w:val="00E04811"/>
    <w:rsid w:val="00E35628"/>
    <w:rsid w:val="00E4620F"/>
    <w:rsid w:val="00E5722E"/>
    <w:rsid w:val="00EA4A44"/>
    <w:rsid w:val="00EC2AD4"/>
    <w:rsid w:val="00EE234A"/>
    <w:rsid w:val="00EF2C00"/>
    <w:rsid w:val="00F32499"/>
    <w:rsid w:val="00F656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4E5A2"/>
  <w15:docId w15:val="{A5535F49-9F34-4A98-8DE2-3682B363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ECC Base"/>
    <w:qFormat/>
    <w:rsid w:val="00D57F96"/>
    <w:pPr>
      <w:spacing w:before="240" w:after="60" w:line="240" w:lineRule="auto"/>
      <w:jc w:val="both"/>
    </w:pPr>
    <w:rPr>
      <w:rFonts w:ascii="Arial" w:eastAsia="Calibri" w:hAnsi="Arial" w:cs="Times New Roman"/>
      <w:sz w:val="20"/>
      <w:lang w:val="en-GB"/>
    </w:rPr>
  </w:style>
  <w:style w:type="paragraph" w:styleId="Heading1">
    <w:name w:val="heading 1"/>
    <w:basedOn w:val="Normal"/>
    <w:next w:val="Normal"/>
    <w:link w:val="Heading1Char"/>
    <w:uiPriority w:val="9"/>
    <w:qFormat/>
    <w:rsid w:val="002B5E23"/>
    <w:pPr>
      <w:keepNext/>
      <w:keepLines/>
      <w:spacing w:after="0" w:line="259" w:lineRule="auto"/>
      <w:jc w:val="center"/>
      <w:outlineLvl w:val="0"/>
    </w:pPr>
    <w:rPr>
      <w:rFonts w:eastAsiaTheme="majorEastAsia" w:cstheme="majorBidi"/>
      <w:b/>
      <w:color w:val="C00000"/>
      <w:sz w:val="32"/>
      <w:szCs w:val="32"/>
      <w:lang w:val="lt-LT"/>
    </w:rPr>
  </w:style>
  <w:style w:type="paragraph" w:styleId="Heading2">
    <w:name w:val="heading 2"/>
    <w:basedOn w:val="Normal"/>
    <w:next w:val="Normal"/>
    <w:link w:val="Heading2Char"/>
    <w:uiPriority w:val="9"/>
    <w:unhideWhenUsed/>
    <w:qFormat/>
    <w:rsid w:val="001923B2"/>
    <w:pPr>
      <w:keepNext/>
      <w:keepLines/>
      <w:numPr>
        <w:numId w:val="8"/>
      </w:numPr>
      <w:spacing w:before="40" w:after="0" w:line="259" w:lineRule="auto"/>
      <w:outlineLvl w:val="1"/>
    </w:pPr>
    <w:rPr>
      <w:rFonts w:eastAsiaTheme="majorEastAsia" w:cstheme="majorBidi"/>
      <w:color w:val="C00000"/>
      <w:sz w:val="24"/>
      <w:szCs w:val="26"/>
      <w:lang w:val="lt-LT"/>
    </w:rPr>
  </w:style>
  <w:style w:type="paragraph" w:styleId="Heading3">
    <w:name w:val="heading 3"/>
    <w:basedOn w:val="Normal"/>
    <w:next w:val="Normal"/>
    <w:link w:val="Heading3Char"/>
    <w:uiPriority w:val="9"/>
    <w:unhideWhenUsed/>
    <w:qFormat/>
    <w:rsid w:val="005757A3"/>
    <w:pPr>
      <w:keepNext/>
      <w:keepLines/>
      <w:numPr>
        <w:ilvl w:val="1"/>
        <w:numId w:val="8"/>
      </w:numPr>
      <w:spacing w:before="40" w:after="0"/>
      <w:outlineLvl w:val="2"/>
    </w:pPr>
    <w:rPr>
      <w:rFonts w:eastAsiaTheme="majorEastAsia" w:cstheme="majorBidi"/>
      <w:color w:val="C00000"/>
      <w:szCs w:val="24"/>
      <w:lang w:val="lt-LT"/>
    </w:rPr>
  </w:style>
  <w:style w:type="paragraph" w:styleId="Heading4">
    <w:name w:val="heading 4"/>
    <w:basedOn w:val="Normal"/>
    <w:next w:val="Normal"/>
    <w:link w:val="Heading4Char"/>
    <w:uiPriority w:val="9"/>
    <w:unhideWhenUsed/>
    <w:qFormat/>
    <w:rsid w:val="00D57F96"/>
    <w:pPr>
      <w:keepNext/>
      <w:keepLines/>
      <w:spacing w:before="40" w:after="0"/>
      <w:outlineLvl w:val="3"/>
    </w:pPr>
    <w:rPr>
      <w:rFonts w:asciiTheme="majorHAnsi" w:eastAsiaTheme="majorEastAsia" w:hAnsiTheme="majorHAnsi" w:cstheme="majorBidi"/>
      <w:i/>
      <w:iCs/>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23B2"/>
    <w:rPr>
      <w:rFonts w:ascii="Arial" w:eastAsiaTheme="majorEastAsia" w:hAnsi="Arial" w:cstheme="majorBidi"/>
      <w:color w:val="C00000"/>
      <w:sz w:val="24"/>
      <w:szCs w:val="26"/>
    </w:rPr>
  </w:style>
  <w:style w:type="character" w:customStyle="1" w:styleId="Heading1Char">
    <w:name w:val="Heading 1 Char"/>
    <w:basedOn w:val="DefaultParagraphFont"/>
    <w:link w:val="Heading1"/>
    <w:uiPriority w:val="9"/>
    <w:rsid w:val="002B5E23"/>
    <w:rPr>
      <w:rFonts w:ascii="Arial" w:eastAsiaTheme="majorEastAsia" w:hAnsi="Arial" w:cstheme="majorBidi"/>
      <w:b/>
      <w:color w:val="C00000"/>
      <w:sz w:val="32"/>
      <w:szCs w:val="32"/>
    </w:rPr>
  </w:style>
  <w:style w:type="character" w:customStyle="1" w:styleId="Heading3Char">
    <w:name w:val="Heading 3 Char"/>
    <w:basedOn w:val="DefaultParagraphFont"/>
    <w:link w:val="Heading3"/>
    <w:uiPriority w:val="9"/>
    <w:rsid w:val="001923B2"/>
    <w:rPr>
      <w:rFonts w:ascii="Arial" w:eastAsiaTheme="majorEastAsia" w:hAnsi="Arial" w:cstheme="majorBidi"/>
      <w:color w:val="C00000"/>
      <w:sz w:val="20"/>
      <w:szCs w:val="24"/>
    </w:rPr>
  </w:style>
  <w:style w:type="paragraph" w:customStyle="1" w:styleId="ECCTabletext">
    <w:name w:val="ECC Table text"/>
    <w:basedOn w:val="Normal"/>
    <w:qFormat/>
    <w:rsid w:val="00D57F96"/>
    <w:pPr>
      <w:spacing w:before="0"/>
    </w:pPr>
  </w:style>
  <w:style w:type="character" w:customStyle="1" w:styleId="ECCHLbold">
    <w:name w:val="ECC HL bold"/>
    <w:basedOn w:val="DefaultParagraphFont"/>
    <w:uiPriority w:val="1"/>
    <w:qFormat/>
    <w:rsid w:val="00D57F96"/>
    <w:rPr>
      <w:b/>
      <w:bCs w:val="0"/>
    </w:rPr>
  </w:style>
  <w:style w:type="paragraph" w:styleId="BalloonText">
    <w:name w:val="Balloon Text"/>
    <w:basedOn w:val="Normal"/>
    <w:link w:val="BalloonTextChar"/>
    <w:uiPriority w:val="99"/>
    <w:semiHidden/>
    <w:unhideWhenUsed/>
    <w:rsid w:val="00D57F9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F96"/>
    <w:rPr>
      <w:rFonts w:ascii="Segoe UI" w:eastAsia="Calibri" w:hAnsi="Segoe UI" w:cs="Segoe UI"/>
      <w:sz w:val="18"/>
      <w:szCs w:val="18"/>
      <w:lang w:val="en-GB"/>
    </w:rPr>
  </w:style>
  <w:style w:type="character" w:customStyle="1" w:styleId="ECCParagraph">
    <w:name w:val="ECC Paragraph"/>
    <w:basedOn w:val="DefaultParagraphFont"/>
    <w:uiPriority w:val="1"/>
    <w:qFormat/>
    <w:rsid w:val="00D57F96"/>
    <w:rPr>
      <w:rFonts w:ascii="Arial" w:hAnsi="Arial"/>
      <w:noProof w:val="0"/>
      <w:sz w:val="20"/>
      <w:bdr w:val="none" w:sz="0" w:space="0" w:color="auto"/>
      <w:lang w:val="en-GB"/>
    </w:rPr>
  </w:style>
  <w:style w:type="character" w:customStyle="1" w:styleId="Heading4Char">
    <w:name w:val="Heading 4 Char"/>
    <w:basedOn w:val="DefaultParagraphFont"/>
    <w:link w:val="Heading4"/>
    <w:uiPriority w:val="9"/>
    <w:rsid w:val="00D57F96"/>
    <w:rPr>
      <w:rFonts w:asciiTheme="majorHAnsi" w:eastAsiaTheme="majorEastAsia" w:hAnsiTheme="majorHAnsi" w:cstheme="majorBidi"/>
      <w:i/>
      <w:iCs/>
      <w:color w:val="C00000"/>
      <w:sz w:val="20"/>
      <w:lang w:val="en-GB"/>
    </w:rPr>
  </w:style>
  <w:style w:type="paragraph" w:styleId="Caption">
    <w:name w:val="caption"/>
    <w:aliases w:val="ECC Caption"/>
    <w:next w:val="Normal"/>
    <w:uiPriority w:val="35"/>
    <w:qFormat/>
    <w:rsid w:val="001923B2"/>
    <w:pPr>
      <w:keepLines/>
      <w:tabs>
        <w:tab w:val="left" w:pos="0"/>
        <w:tab w:val="center" w:pos="4820"/>
        <w:tab w:val="right" w:pos="9639"/>
      </w:tabs>
      <w:spacing w:before="240" w:after="240" w:line="240" w:lineRule="auto"/>
      <w:contextualSpacing/>
      <w:jc w:val="center"/>
    </w:pPr>
    <w:rPr>
      <w:rFonts w:ascii="Arial" w:eastAsia="Times New Roman" w:hAnsi="Arial" w:cs="Times New Roman"/>
      <w:b/>
      <w:bCs/>
      <w:color w:val="D2232A"/>
      <w:sz w:val="20"/>
      <w:szCs w:val="20"/>
      <w:lang w:val="da-DK"/>
    </w:rPr>
  </w:style>
  <w:style w:type="paragraph" w:customStyle="1" w:styleId="ECCTableHeaderwhitefont">
    <w:name w:val="ECC Table Header white font"/>
    <w:qFormat/>
    <w:rsid w:val="001923B2"/>
    <w:pPr>
      <w:spacing w:before="240" w:after="60" w:line="240" w:lineRule="auto"/>
      <w:jc w:val="center"/>
    </w:pPr>
    <w:rPr>
      <w:rFonts w:ascii="Arial" w:eastAsia="Calibri" w:hAnsi="Arial" w:cs="Times New Roman"/>
      <w:bCs/>
      <w:color w:val="FFFFFF" w:themeColor="background1"/>
      <w:sz w:val="20"/>
      <w:szCs w:val="20"/>
      <w:lang w:val="en-GB" w:eastAsia="de-DE"/>
    </w:rPr>
  </w:style>
  <w:style w:type="table" w:customStyle="1" w:styleId="ECCTable-redheader">
    <w:name w:val="ECC Table - red header"/>
    <w:basedOn w:val="TableNormal"/>
    <w:uiPriority w:val="99"/>
    <w:rsid w:val="001923B2"/>
    <w:pPr>
      <w:spacing w:before="60" w:after="60" w:line="240" w:lineRule="auto"/>
      <w:jc w:val="both"/>
    </w:pPr>
    <w:rPr>
      <w:rFonts w:ascii="Arial" w:eastAsia="Calibri" w:hAnsi="Arial" w:cs="Times New Roman"/>
      <w:sz w:val="20"/>
      <w:szCs w:val="20"/>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Autospacing="0" w:afterLines="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styleId="ListParagraph">
    <w:name w:val="List Paragraph"/>
    <w:basedOn w:val="Normal"/>
    <w:link w:val="ListParagraphChar"/>
    <w:uiPriority w:val="34"/>
    <w:qFormat/>
    <w:rsid w:val="001923B2"/>
    <w:pPr>
      <w:ind w:left="720"/>
      <w:contextualSpacing/>
    </w:pPr>
  </w:style>
  <w:style w:type="paragraph" w:customStyle="1" w:styleId="Style1">
    <w:name w:val="Style1"/>
    <w:basedOn w:val="ListParagraph"/>
    <w:link w:val="Style1Char"/>
    <w:rsid w:val="001923B2"/>
    <w:pPr>
      <w:numPr>
        <w:numId w:val="5"/>
      </w:numPr>
    </w:pPr>
    <w:rPr>
      <w:lang w:val="en-US"/>
    </w:rPr>
  </w:style>
  <w:style w:type="paragraph" w:customStyle="1" w:styleId="Style2">
    <w:name w:val="Style2"/>
    <w:basedOn w:val="Style1"/>
    <w:link w:val="Style2Char"/>
    <w:rsid w:val="001923B2"/>
  </w:style>
  <w:style w:type="character" w:customStyle="1" w:styleId="ListParagraphChar">
    <w:name w:val="List Paragraph Char"/>
    <w:basedOn w:val="DefaultParagraphFont"/>
    <w:link w:val="ListParagraph"/>
    <w:uiPriority w:val="34"/>
    <w:rsid w:val="001923B2"/>
    <w:rPr>
      <w:rFonts w:ascii="Arial" w:eastAsia="Calibri" w:hAnsi="Arial" w:cs="Times New Roman"/>
      <w:sz w:val="20"/>
      <w:lang w:val="en-GB"/>
    </w:rPr>
  </w:style>
  <w:style w:type="character" w:customStyle="1" w:styleId="Style1Char">
    <w:name w:val="Style1 Char"/>
    <w:basedOn w:val="ListParagraphChar"/>
    <w:link w:val="Style1"/>
    <w:rsid w:val="001923B2"/>
    <w:rPr>
      <w:rFonts w:ascii="Arial" w:eastAsia="Calibri" w:hAnsi="Arial" w:cs="Times New Roman"/>
      <w:sz w:val="20"/>
      <w:lang w:val="en-US"/>
    </w:rPr>
  </w:style>
  <w:style w:type="character" w:styleId="PlaceholderText">
    <w:name w:val="Placeholder Text"/>
    <w:basedOn w:val="DefaultParagraphFont"/>
    <w:uiPriority w:val="99"/>
    <w:semiHidden/>
    <w:rsid w:val="004E38F8"/>
    <w:rPr>
      <w:color w:val="808080"/>
    </w:rPr>
  </w:style>
  <w:style w:type="character" w:customStyle="1" w:styleId="Style2Char">
    <w:name w:val="Style2 Char"/>
    <w:basedOn w:val="Style1Char"/>
    <w:link w:val="Style2"/>
    <w:rsid w:val="001923B2"/>
    <w:rPr>
      <w:rFonts w:ascii="Arial" w:eastAsia="Calibri" w:hAnsi="Arial" w:cs="Times New Roman"/>
      <w:sz w:val="20"/>
      <w:lang w:val="en-US"/>
    </w:rPr>
  </w:style>
  <w:style w:type="paragraph" w:styleId="Revision">
    <w:name w:val="Revision"/>
    <w:hidden/>
    <w:uiPriority w:val="99"/>
    <w:semiHidden/>
    <w:rsid w:val="00806DC2"/>
    <w:pPr>
      <w:spacing w:after="0" w:line="240" w:lineRule="auto"/>
    </w:pPr>
    <w:rPr>
      <w:rFonts w:ascii="Arial" w:eastAsia="Calibri" w:hAnsi="Arial" w:cs="Times New Roman"/>
      <w:sz w:val="20"/>
      <w:lang w:val="en-GB"/>
    </w:rPr>
  </w:style>
  <w:style w:type="character" w:styleId="CommentReference">
    <w:name w:val="annotation reference"/>
    <w:basedOn w:val="DefaultParagraphFont"/>
    <w:uiPriority w:val="99"/>
    <w:semiHidden/>
    <w:unhideWhenUsed/>
    <w:rsid w:val="00EF2C00"/>
    <w:rPr>
      <w:sz w:val="16"/>
      <w:szCs w:val="16"/>
    </w:rPr>
  </w:style>
  <w:style w:type="paragraph" w:styleId="CommentText">
    <w:name w:val="annotation text"/>
    <w:basedOn w:val="Normal"/>
    <w:link w:val="CommentTextChar"/>
    <w:uiPriority w:val="99"/>
    <w:semiHidden/>
    <w:unhideWhenUsed/>
    <w:rsid w:val="00EF2C00"/>
    <w:rPr>
      <w:szCs w:val="20"/>
    </w:rPr>
  </w:style>
  <w:style w:type="character" w:customStyle="1" w:styleId="CommentTextChar">
    <w:name w:val="Comment Text Char"/>
    <w:basedOn w:val="DefaultParagraphFont"/>
    <w:link w:val="CommentText"/>
    <w:uiPriority w:val="99"/>
    <w:semiHidden/>
    <w:rsid w:val="00EF2C00"/>
    <w:rPr>
      <w:rFonts w:ascii="Arial" w:eastAsia="Calibri"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F2C00"/>
    <w:rPr>
      <w:b/>
      <w:bCs/>
    </w:rPr>
  </w:style>
  <w:style w:type="character" w:customStyle="1" w:styleId="CommentSubjectChar">
    <w:name w:val="Comment Subject Char"/>
    <w:basedOn w:val="CommentTextChar"/>
    <w:link w:val="CommentSubject"/>
    <w:uiPriority w:val="99"/>
    <w:semiHidden/>
    <w:rsid w:val="00EF2C00"/>
    <w:rPr>
      <w:rFonts w:ascii="Arial" w:eastAsia="Calibri" w:hAnsi="Arial"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75441-5DD7-451E-8CC8-382CA963C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11</Pages>
  <Words>1997</Words>
  <Characters>11385</Characters>
  <Application>Microsoft Office Word</Application>
  <DocSecurity>0</DocSecurity>
  <Lines>94</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ANFR</Company>
  <LinksUpToDate>false</LinksUpToDate>
  <CharactersWithSpaces>13356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 Blinovaitė</dc:creator>
  <cp:lastModifiedBy>Linas Spraunius</cp:lastModifiedBy>
  <cp:revision>11</cp:revision>
  <dcterms:created xsi:type="dcterms:W3CDTF">2019-04-08T13:08:00Z</dcterms:created>
  <dcterms:modified xsi:type="dcterms:W3CDTF">2020-02-05T05:33:00Z</dcterms:modified>
</cp:coreProperties>
</file>