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2928"/>
        <w:gridCol w:w="357"/>
        <w:gridCol w:w="4677"/>
      </w:tblGrid>
      <w:tr w:rsidR="00265F50" w:rsidRPr="00A3755D" w14:paraId="39B74CA7" w14:textId="77777777" w:rsidTr="001B0583">
        <w:trPr>
          <w:cantSplit/>
          <w:trHeight w:val="1560"/>
        </w:trPr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F8A40" w14:textId="77777777" w:rsidR="00265F50" w:rsidRPr="00265F50" w:rsidRDefault="00265F50" w:rsidP="00265F50">
            <w:pPr>
              <w:pStyle w:val="ECCLetterHead"/>
            </w:pPr>
            <w:r w:rsidRPr="00265F50">
              <w:rPr>
                <w:noProof/>
                <w:lang w:val="en-US"/>
              </w:rPr>
              <w:drawing>
                <wp:inline distT="0" distB="0" distL="0" distR="0" wp14:anchorId="5D71BA7E" wp14:editId="6F0C6AD5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F50">
              <w:t>CPG</w:t>
            </w:r>
            <w:r w:rsidR="00422857">
              <w:t xml:space="preserve"> PT</w:t>
            </w:r>
            <w:r w:rsidR="003653D3">
              <w:t xml:space="preserve"> </w:t>
            </w:r>
            <w:r w:rsidR="00422857">
              <w:t>D</w:t>
            </w:r>
          </w:p>
        </w:tc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77F9C" w14:textId="6D6CB13A" w:rsidR="00265F50" w:rsidRPr="00265F50" w:rsidRDefault="00265F50" w:rsidP="001A27C9">
            <w:pPr>
              <w:pStyle w:val="ECCLetterHead"/>
            </w:pPr>
            <w:r>
              <w:tab/>
              <w:t xml:space="preserve">Doc. </w:t>
            </w:r>
            <w:r w:rsidR="00422857">
              <w:t>PTD</w:t>
            </w:r>
            <w:r w:rsidRPr="00265F50">
              <w:t>(1</w:t>
            </w:r>
            <w:r w:rsidR="003C2109">
              <w:t>8</w:t>
            </w:r>
            <w:r w:rsidRPr="00265F50">
              <w:t>)</w:t>
            </w:r>
            <w:r w:rsidR="002E58A0">
              <w:t>105</w:t>
            </w:r>
          </w:p>
        </w:tc>
      </w:tr>
      <w:tr w:rsidR="00265F50" w:rsidRPr="00A3755D" w14:paraId="08B6E98A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795C" w14:textId="3E2A9C1C" w:rsidR="00265F50" w:rsidRPr="00265F50" w:rsidRDefault="003C2109" w:rsidP="001A27C9">
            <w:pPr>
              <w:pStyle w:val="ECCLetterHead"/>
            </w:pPr>
            <w:r>
              <w:t>7</w:t>
            </w:r>
            <w:r w:rsidRPr="003C2109">
              <w:rPr>
                <w:vertAlign w:val="superscript"/>
              </w:rPr>
              <w:t>th</w:t>
            </w:r>
            <w:r>
              <w:t xml:space="preserve"> </w:t>
            </w:r>
            <w:r w:rsidR="00E973CD">
              <w:t>meeting of</w:t>
            </w:r>
            <w:r w:rsidR="00422857">
              <w:t xml:space="preserve"> </w:t>
            </w:r>
            <w:r w:rsidR="003653D3">
              <w:t>CPG19</w:t>
            </w:r>
            <w:r w:rsidR="00E973CD">
              <w:t xml:space="preserve"> </w:t>
            </w:r>
            <w:r w:rsidR="00422857">
              <w:t>Project team D</w:t>
            </w:r>
          </w:p>
        </w:tc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09E54" w14:textId="77777777" w:rsidR="00265F50" w:rsidRPr="0011705C" w:rsidRDefault="00265F50" w:rsidP="00265F50">
            <w:pPr>
              <w:pStyle w:val="ECCLetterHead"/>
            </w:pPr>
          </w:p>
        </w:tc>
      </w:tr>
      <w:tr w:rsidR="005F546E" w:rsidRPr="00A3755D" w14:paraId="04CE2155" w14:textId="77777777" w:rsidTr="00F86F9F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3054E" w14:textId="77777777" w:rsidR="005F546E" w:rsidRDefault="005F546E" w:rsidP="005F546E">
            <w:pPr>
              <w:pStyle w:val="ECCLetterHead"/>
            </w:pPr>
            <w:r w:rsidRPr="005F546E">
              <w:t>Kyiv, Ukraine</w:t>
            </w:r>
          </w:p>
          <w:p w14:paraId="6C2A11B2" w14:textId="1A1F7F75" w:rsidR="005F546E" w:rsidRPr="005F546E" w:rsidRDefault="005F546E" w:rsidP="005F546E">
            <w:pPr>
              <w:pStyle w:val="ECCLetterHead"/>
            </w:pPr>
            <w:r>
              <w:t>25</w:t>
            </w:r>
            <w:r w:rsidRPr="005F546E">
              <w:t xml:space="preserve"> – 28 September 2018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4F5CD35" w14:textId="77777777" w:rsidR="005F546E" w:rsidRPr="005F546E" w:rsidRDefault="005F546E" w:rsidP="005F546E">
            <w:pPr>
              <w:pStyle w:val="ECCLetterHead"/>
            </w:pPr>
          </w:p>
        </w:tc>
      </w:tr>
      <w:tr w:rsidR="00263FFB" w:rsidRPr="00A3755D" w14:paraId="58DDF20F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15A65" w14:textId="77777777" w:rsidR="00263FFB" w:rsidRPr="00A3755D" w:rsidRDefault="00263FFB" w:rsidP="00263FFB">
            <w:pPr>
              <w:pStyle w:val="ECCLetterHead"/>
            </w:pPr>
          </w:p>
        </w:tc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5CE73" w14:textId="77777777" w:rsidR="00263FFB" w:rsidRPr="00A3755D" w:rsidRDefault="00263FFB" w:rsidP="00263FFB">
            <w:pPr>
              <w:pStyle w:val="ECCLetterHead"/>
            </w:pPr>
          </w:p>
        </w:tc>
      </w:tr>
      <w:tr w:rsidR="00263FFB" w:rsidRPr="00A3755D" w14:paraId="29733720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C12F2" w14:textId="77777777" w:rsidR="00263FFB" w:rsidRPr="00263FFB" w:rsidRDefault="00263FFB" w:rsidP="00263FFB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C486" w14:textId="6C6CD6E2" w:rsidR="00263FFB" w:rsidRPr="00263FFB" w:rsidRDefault="00920400" w:rsidP="001A27C9">
            <w:pPr>
              <w:pStyle w:val="ECCLetterHead"/>
            </w:pPr>
            <w:r>
              <w:t>17</w:t>
            </w:r>
            <w:r w:rsidR="00B00700">
              <w:t xml:space="preserve"> </w:t>
            </w:r>
            <w:r w:rsidR="003C2109">
              <w:t>September</w:t>
            </w:r>
            <w:r w:rsidR="00B00700">
              <w:t xml:space="preserve"> 201</w:t>
            </w:r>
            <w:r w:rsidR="003C2109">
              <w:t>8</w:t>
            </w:r>
          </w:p>
        </w:tc>
      </w:tr>
      <w:tr w:rsidR="00263FFB" w:rsidRPr="00A3755D" w14:paraId="52FDF7F5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6966C" w14:textId="77777777" w:rsidR="00263FFB" w:rsidRPr="00263FFB" w:rsidRDefault="00263FFB" w:rsidP="00263FFB">
            <w:pPr>
              <w:pStyle w:val="ECCLetterHead"/>
            </w:pPr>
            <w:r w:rsidRPr="00A3755D">
              <w:t xml:space="preserve">Source: 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5983C" w14:textId="77777777" w:rsidR="00263FFB" w:rsidRPr="00263FFB" w:rsidRDefault="001A27C9" w:rsidP="001A27C9">
            <w:pPr>
              <w:pStyle w:val="ECCLetterHead"/>
            </w:pPr>
            <w:r>
              <w:t>Lithuania</w:t>
            </w:r>
          </w:p>
        </w:tc>
      </w:tr>
      <w:tr w:rsidR="00263FFB" w:rsidRPr="00A3755D" w14:paraId="6680E1C8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5AC0" w14:textId="77777777" w:rsidR="00263FFB" w:rsidRPr="00263FFB" w:rsidRDefault="00263FFB" w:rsidP="00263FFB">
            <w:pPr>
              <w:pStyle w:val="ECCLetterHead"/>
            </w:pPr>
            <w:r w:rsidRPr="00A3755D">
              <w:t xml:space="preserve">Subject: 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C7568" w14:textId="13379916" w:rsidR="00263FFB" w:rsidRPr="00263FFB" w:rsidRDefault="00AB4AB0" w:rsidP="001A27C9">
            <w:pPr>
              <w:pStyle w:val="ECCLetterHead"/>
            </w:pPr>
            <w:r>
              <w:t>Position on</w:t>
            </w:r>
            <w:r w:rsidR="006841A6" w:rsidRPr="006841A6">
              <w:t xml:space="preserve"> WRC-19 </w:t>
            </w:r>
            <w:r w:rsidR="002E58A0">
              <w:t>A</w:t>
            </w:r>
            <w:r w:rsidR="00B00700">
              <w:t xml:space="preserve">genda item 1.1 </w:t>
            </w:r>
            <w:r>
              <w:t xml:space="preserve">and proposal for </w:t>
            </w:r>
            <w:r w:rsidR="001E0225">
              <w:t xml:space="preserve">sharing with Broadcasting </w:t>
            </w:r>
            <w:r w:rsidR="002E58A0">
              <w:t>service</w:t>
            </w:r>
          </w:p>
        </w:tc>
      </w:tr>
      <w:tr w:rsidR="00263FFB" w:rsidRPr="00A3755D" w14:paraId="59E1F65C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2AF09" w14:textId="77777777" w:rsidR="00263FFB" w:rsidRPr="00263FFB" w:rsidRDefault="00263FFB" w:rsidP="00263FFB">
            <w:pPr>
              <w:pStyle w:val="ECCTabletext"/>
            </w:pPr>
            <w:r w:rsidRPr="00263FF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 wp14:anchorId="4A6B5F45" wp14:editId="1432B781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175895</wp:posOffset>
                      </wp:positionV>
                      <wp:extent cx="457200" cy="269875"/>
                      <wp:effectExtent l="0" t="0" r="19050" b="15875"/>
                      <wp:wrapTight wrapText="bothSides">
                        <wp:wrapPolygon edited="0">
                          <wp:start x="0" y="0"/>
                          <wp:lineTo x="0" y="21346"/>
                          <wp:lineTo x="21600" y="21346"/>
                          <wp:lineTo x="21600" y="0"/>
                          <wp:lineTo x="0" y="0"/>
                        </wp:wrapPolygon>
                      </wp:wrapTight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F108F" w14:textId="77777777" w:rsidR="00263FFB" w:rsidRPr="00F45561" w:rsidRDefault="00F45561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6B5F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03.55pt;margin-top:13.85pt;width:36pt;height:2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" o:allowincell="f">
                      <v:textbox inset="1.2mm,.8mm,1mm,2mm">
                        <w:txbxContent>
                          <w:p w14:paraId="004F108F" w14:textId="77777777" w:rsidR="00263FFB" w:rsidRPr="00F45561" w:rsidRDefault="00F45561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263FFB">
              <w:t>Group membership required to read? (Y/N)</w:t>
            </w:r>
          </w:p>
        </w:tc>
      </w:tr>
      <w:tr w:rsidR="00263FFB" w:rsidRPr="00A3755D" w14:paraId="4DB0269E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51EA2" w14:textId="77777777" w:rsidR="00263FFB" w:rsidRPr="00F32DEC" w:rsidRDefault="00263FFB" w:rsidP="00263FFB">
            <w:pPr>
              <w:rPr>
                <w:rStyle w:val="ECCParagraph"/>
              </w:rPr>
            </w:pPr>
          </w:p>
          <w:p w14:paraId="5B650651" w14:textId="77777777" w:rsidR="00263FFB" w:rsidRPr="00A3755D" w:rsidRDefault="00263FFB" w:rsidP="00263FFB"/>
        </w:tc>
      </w:tr>
      <w:tr w:rsidR="00263FFB" w:rsidRPr="00A3755D" w14:paraId="4BC6140B" w14:textId="77777777" w:rsidTr="00A7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4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79C66964" w14:textId="77777777" w:rsidR="00263FFB" w:rsidRPr="00263FFB" w:rsidRDefault="00263FFB" w:rsidP="00263FFB">
            <w:pPr>
              <w:pStyle w:val="ECCLetterHead"/>
            </w:pPr>
            <w:r w:rsidRPr="00A3755D">
              <w:t xml:space="preserve">Summary: </w:t>
            </w:r>
          </w:p>
        </w:tc>
      </w:tr>
      <w:tr w:rsidR="00263FFB" w:rsidRPr="00A3755D" w14:paraId="3AF428A6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781" w:type="dxa"/>
            <w:gridSpan w:val="4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365A9678" w14:textId="154D63E0" w:rsidR="008C3351" w:rsidRDefault="00EF6503" w:rsidP="001A27C9">
            <w:r w:rsidRPr="00EF6503">
              <w:t xml:space="preserve">During the last CPG meeting, it was </w:t>
            </w:r>
            <w:r w:rsidR="008C3351">
              <w:t>approved</w:t>
            </w:r>
            <w:r w:rsidRPr="00EF6503">
              <w:t xml:space="preserve"> the </w:t>
            </w:r>
            <w:r w:rsidR="008C3351">
              <w:t xml:space="preserve">preliminary position that </w:t>
            </w:r>
            <w:r w:rsidR="008C3351" w:rsidRPr="008C3351">
              <w:t>CEPT supports an allocation of 2 MHz in the frequency range 50-52 MHz to the amateur service in Region 1 on a secondary basis</w:t>
            </w:r>
            <w:r w:rsidR="008C3351">
              <w:t xml:space="preserve">. </w:t>
            </w:r>
            <w:r w:rsidRPr="00EF6503">
              <w:t xml:space="preserve">Furthermore, the meeting </w:t>
            </w:r>
            <w:r w:rsidR="008C3351">
              <w:t xml:space="preserve">noted the position expressed by Lithuanian administration to address the section 3.2 of the </w:t>
            </w:r>
            <w:r w:rsidR="008C3351" w:rsidRPr="008C3351">
              <w:t>CEPT Brief on agenda item 1.1</w:t>
            </w:r>
            <w:r w:rsidR="008C3351">
              <w:t xml:space="preserve"> on </w:t>
            </w:r>
            <w:r w:rsidR="008C3351" w:rsidRPr="008C3351">
              <w:t>sharing with Broadcasting service</w:t>
            </w:r>
            <w:r w:rsidR="008C3351">
              <w:t xml:space="preserve"> issue in the next PTD meetings as at the 6</w:t>
            </w:r>
            <w:r w:rsidR="008C3351" w:rsidRPr="008C3351">
              <w:rPr>
                <w:vertAlign w:val="superscript"/>
              </w:rPr>
              <w:t>th</w:t>
            </w:r>
            <w:r w:rsidR="008C3351">
              <w:t xml:space="preserve"> </w:t>
            </w:r>
            <w:r w:rsidR="008C3351" w:rsidRPr="008C3351">
              <w:t xml:space="preserve">PTD meeting held at </w:t>
            </w:r>
            <w:r w:rsidR="008C3351">
              <w:t>Tallinn</w:t>
            </w:r>
            <w:r w:rsidR="008C3351" w:rsidRPr="008C3351">
              <w:t xml:space="preserve"> (</w:t>
            </w:r>
            <w:r w:rsidR="008C3351">
              <w:t>Estonia</w:t>
            </w:r>
            <w:r w:rsidR="008C3351" w:rsidRPr="008C3351">
              <w:t xml:space="preserve">), the meeting could not reach </w:t>
            </w:r>
            <w:r w:rsidR="008C3351">
              <w:t>final</w:t>
            </w:r>
            <w:r w:rsidR="008C3351" w:rsidRPr="008C3351">
              <w:t xml:space="preserve"> agreement</w:t>
            </w:r>
            <w:r w:rsidR="008C3351">
              <w:t xml:space="preserve">. </w:t>
            </w:r>
            <w:r w:rsidR="00EC207F">
              <w:t>It</w:t>
            </w:r>
            <w:r w:rsidR="00734BCA">
              <w:t xml:space="preserve"> shall be noted </w:t>
            </w:r>
            <w:r w:rsidR="00EC7DB9">
              <w:t>the change</w:t>
            </w:r>
            <w:r w:rsidR="00734BCA">
              <w:t xml:space="preserve"> of the Preliminary CEPT position considering the frequency band allocated to Amateur service limited to </w:t>
            </w:r>
            <w:r w:rsidR="00734BCA" w:rsidRPr="00734BCA">
              <w:t>2 MHz in the frequency range 50-52 MHz</w:t>
            </w:r>
            <w:r w:rsidR="00734BCA">
              <w:t xml:space="preserve"> instead of initial 4 </w:t>
            </w:r>
            <w:proofErr w:type="spellStart"/>
            <w:r w:rsidR="00EC7DB9">
              <w:t>MHz.</w:t>
            </w:r>
            <w:proofErr w:type="spellEnd"/>
          </w:p>
          <w:p w14:paraId="3E1EB435" w14:textId="026A1C94" w:rsidR="00263FFB" w:rsidRPr="00A81372" w:rsidRDefault="00F81D88" w:rsidP="001A27C9">
            <w:pPr>
              <w:rPr>
                <w:rStyle w:val="ECCParagraph"/>
              </w:rPr>
            </w:pPr>
            <w:r>
              <w:rPr>
                <w:rStyle w:val="ECCParagraph"/>
              </w:rPr>
              <w:t xml:space="preserve">The present document </w:t>
            </w:r>
            <w:r w:rsidR="00765B5A">
              <w:rPr>
                <w:rStyle w:val="ECCParagraph"/>
              </w:rPr>
              <w:t xml:space="preserve">provides in </w:t>
            </w:r>
            <w:r w:rsidR="000B1671">
              <w:rPr>
                <w:rStyle w:val="ECCParagraph"/>
              </w:rPr>
              <w:t xml:space="preserve">the </w:t>
            </w:r>
            <w:r w:rsidR="00765B5A">
              <w:rPr>
                <w:rStyle w:val="ECCParagraph"/>
              </w:rPr>
              <w:t xml:space="preserve">Annex the position </w:t>
            </w:r>
            <w:r w:rsidR="000B1671">
              <w:rPr>
                <w:rStyle w:val="ECCParagraph"/>
              </w:rPr>
              <w:t xml:space="preserve">of Lithuanian administration </w:t>
            </w:r>
            <w:r w:rsidR="00765B5A">
              <w:rPr>
                <w:rStyle w:val="ECCParagraph"/>
              </w:rPr>
              <w:t xml:space="preserve">on the </w:t>
            </w:r>
            <w:r w:rsidR="00BB474C">
              <w:rPr>
                <w:rStyle w:val="ECCParagraph"/>
              </w:rPr>
              <w:t>protection requirements for the stations of Broadcasting service</w:t>
            </w:r>
            <w:r w:rsidR="00765B5A">
              <w:rPr>
                <w:rStyle w:val="ECCParagraph"/>
              </w:rPr>
              <w:t>.</w:t>
            </w:r>
          </w:p>
        </w:tc>
      </w:tr>
      <w:tr w:rsidR="00263FFB" w:rsidRPr="00A3755D" w14:paraId="7592AC1E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4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43C84883" w14:textId="77777777" w:rsidR="00263FFB" w:rsidRPr="00263FFB" w:rsidRDefault="00263FFB" w:rsidP="00263FFB">
            <w:pPr>
              <w:pStyle w:val="ECCLetterHead"/>
            </w:pPr>
            <w:r w:rsidRPr="00A3755D">
              <w:t>Proposal:</w:t>
            </w:r>
          </w:p>
        </w:tc>
      </w:tr>
      <w:tr w:rsidR="00263FFB" w:rsidRPr="00A3755D" w14:paraId="75990FB4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2"/>
        </w:trPr>
        <w:tc>
          <w:tcPr>
            <w:tcW w:w="9781" w:type="dxa"/>
            <w:gridSpan w:val="4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08FF997F" w14:textId="69EFFB63" w:rsidR="006903E2" w:rsidRDefault="00AE3567" w:rsidP="001A27C9">
            <w:pPr>
              <w:pStyle w:val="ECCBulletsLv2"/>
              <w:numPr>
                <w:ilvl w:val="0"/>
                <w:numId w:val="0"/>
              </w:numPr>
              <w:rPr>
                <w:rStyle w:val="ECCParagraph"/>
              </w:rPr>
            </w:pPr>
            <w:r w:rsidRPr="00B44166">
              <w:rPr>
                <w:rStyle w:val="ECCParagraph"/>
              </w:rPr>
              <w:t xml:space="preserve">CPG/PTD is </w:t>
            </w:r>
            <w:r w:rsidR="00492EA9">
              <w:rPr>
                <w:rStyle w:val="ECCParagraph"/>
              </w:rPr>
              <w:t xml:space="preserve">asked </w:t>
            </w:r>
            <w:r w:rsidRPr="00B44166">
              <w:rPr>
                <w:rStyle w:val="ECCParagraph"/>
              </w:rPr>
              <w:t xml:space="preserve">to </w:t>
            </w:r>
            <w:r w:rsidR="00492EA9">
              <w:rPr>
                <w:rStyle w:val="ECCParagraph"/>
              </w:rPr>
              <w:t xml:space="preserve">consider the proposal in the Annex for inclusion in the </w:t>
            </w:r>
            <w:r w:rsidR="003977BA">
              <w:rPr>
                <w:rStyle w:val="ECCParagraph"/>
              </w:rPr>
              <w:t>draft</w:t>
            </w:r>
            <w:r w:rsidR="00492EA9">
              <w:rPr>
                <w:rStyle w:val="ECCParagraph"/>
              </w:rPr>
              <w:t xml:space="preserve"> CEPT Brief on </w:t>
            </w:r>
            <w:r w:rsidR="006841A6" w:rsidRPr="006841A6">
              <w:t xml:space="preserve">WRC-19 </w:t>
            </w:r>
            <w:r w:rsidR="00492EA9">
              <w:rPr>
                <w:rStyle w:val="ECCParagraph"/>
              </w:rPr>
              <w:t>agenda item 1.1</w:t>
            </w:r>
          </w:p>
          <w:p w14:paraId="41332559" w14:textId="77777777" w:rsidR="00E51AC7" w:rsidRDefault="00E51AC7" w:rsidP="001A27C9">
            <w:pPr>
              <w:pStyle w:val="ECCBulletsLv2"/>
              <w:numPr>
                <w:ilvl w:val="0"/>
                <w:numId w:val="0"/>
              </w:numPr>
              <w:rPr>
                <w:rStyle w:val="ECCParagraph"/>
              </w:rPr>
            </w:pPr>
          </w:p>
          <w:p w14:paraId="47DBF92A" w14:textId="77777777" w:rsidR="003A00D2" w:rsidRDefault="0054452F" w:rsidP="001A27C9">
            <w:pPr>
              <w:pStyle w:val="ECCBulletsLv2"/>
              <w:numPr>
                <w:ilvl w:val="0"/>
                <w:numId w:val="0"/>
              </w:numPr>
            </w:pPr>
            <w:r>
              <w:t>Noting:</w:t>
            </w:r>
          </w:p>
          <w:p w14:paraId="395C81A8" w14:textId="6A3E70E6" w:rsidR="003A00D2" w:rsidRPr="003A00D2" w:rsidRDefault="003A00D2" w:rsidP="003A00D2">
            <w:pPr>
              <w:pStyle w:val="ECCBulletsLv1"/>
              <w:rPr>
                <w:lang w:val="en-US"/>
              </w:rPr>
            </w:pPr>
            <w:bookmarkStart w:id="0" w:name="_Hlk520382951"/>
            <w:r w:rsidRPr="003A00D2">
              <w:t>some countries border with</w:t>
            </w:r>
            <w:r w:rsidRPr="003A00D2">
              <w:rPr>
                <w:rStyle w:val="ECCParagraph"/>
              </w:rPr>
              <w:t xml:space="preserve"> a </w:t>
            </w:r>
            <w:r w:rsidR="00F571EE">
              <w:rPr>
                <w:rStyle w:val="ECCParagraph"/>
              </w:rPr>
              <w:t xml:space="preserve">miniature </w:t>
            </w:r>
            <w:r w:rsidR="00F5428C">
              <w:rPr>
                <w:rStyle w:val="ECCParagraph"/>
              </w:rPr>
              <w:t xml:space="preserve">radius </w:t>
            </w:r>
            <w:r w:rsidR="00F571EE">
              <w:rPr>
                <w:rStyle w:val="ECCParagraph"/>
              </w:rPr>
              <w:t xml:space="preserve">service area of </w:t>
            </w:r>
            <w:r w:rsidR="00F5428C">
              <w:rPr>
                <w:rStyle w:val="ECCParagraph"/>
              </w:rPr>
              <w:t>potentially operational</w:t>
            </w:r>
            <w:r w:rsidR="00F571EE">
              <w:rPr>
                <w:rStyle w:val="ECCParagraph"/>
              </w:rPr>
              <w:t xml:space="preserve"> </w:t>
            </w:r>
            <w:r w:rsidRPr="003A00D2">
              <w:rPr>
                <w:rStyle w:val="ECCParagraph"/>
              </w:rPr>
              <w:t>analogue broadcasting station</w:t>
            </w:r>
            <w:r w:rsidR="00F571EE">
              <w:rPr>
                <w:rStyle w:val="ECCParagraph"/>
              </w:rPr>
              <w:t xml:space="preserve"> </w:t>
            </w:r>
            <w:r w:rsidR="00A06071">
              <w:rPr>
                <w:rStyle w:val="ECCParagraph"/>
              </w:rPr>
              <w:t>pertinent to</w:t>
            </w:r>
            <w:r w:rsidR="00EF0FD5" w:rsidRPr="00EF0FD5">
              <w:rPr>
                <w:rStyle w:val="ECCParagraph"/>
              </w:rPr>
              <w:t xml:space="preserve"> the framework of the </w:t>
            </w:r>
            <w:r w:rsidR="00EF0FD5" w:rsidRPr="00EF0FD5">
              <w:t>Stockholm 1961 Agreement (Rev. RRC-06) (ST61)</w:t>
            </w:r>
            <w:r w:rsidR="00A06071">
              <w:t xml:space="preserve"> </w:t>
            </w:r>
            <w:r w:rsidR="00F571EE">
              <w:rPr>
                <w:rStyle w:val="ECCParagraph"/>
              </w:rPr>
              <w:t>of neighbouring country</w:t>
            </w:r>
            <w:r w:rsidRPr="003A00D2">
              <w:rPr>
                <w:rStyle w:val="ECCParagraph"/>
              </w:rPr>
              <w:t xml:space="preserve"> </w:t>
            </w:r>
            <w:r w:rsidR="00F571EE">
              <w:rPr>
                <w:rStyle w:val="ECCParagraph"/>
              </w:rPr>
              <w:t>(</w:t>
            </w:r>
            <w:r w:rsidR="00487AAE">
              <w:rPr>
                <w:rStyle w:val="ECCParagraph"/>
              </w:rPr>
              <w:t xml:space="preserve">i.e. </w:t>
            </w:r>
            <w:r w:rsidR="00F5428C">
              <w:rPr>
                <w:rStyle w:val="ECCParagraph"/>
              </w:rPr>
              <w:t xml:space="preserve">service area diameter </w:t>
            </w:r>
            <w:r w:rsidR="00F571EE">
              <w:rPr>
                <w:rStyle w:val="ECCParagraph"/>
              </w:rPr>
              <w:t xml:space="preserve">10 km </w:t>
            </w:r>
            <w:r w:rsidR="00CA1331">
              <w:rPr>
                <w:rStyle w:val="ECCParagraph"/>
              </w:rPr>
              <w:t>vs</w:t>
            </w:r>
            <w:r w:rsidR="00F571EE">
              <w:rPr>
                <w:rStyle w:val="ECCParagraph"/>
              </w:rPr>
              <w:t xml:space="preserve"> 254 km</w:t>
            </w:r>
            <w:r w:rsidR="00F5428C">
              <w:rPr>
                <w:rStyle w:val="ECCParagraph"/>
              </w:rPr>
              <w:t xml:space="preserve"> border length</w:t>
            </w:r>
            <w:r w:rsidR="00A06071">
              <w:rPr>
                <w:rStyle w:val="ECCParagraph"/>
              </w:rPr>
              <w:t xml:space="preserve"> in the Kaliningrad region</w:t>
            </w:r>
            <w:r w:rsidR="00F571EE">
              <w:rPr>
                <w:rStyle w:val="ECCParagraph"/>
              </w:rPr>
              <w:t xml:space="preserve">) or </w:t>
            </w:r>
            <w:r w:rsidR="00F5428C">
              <w:rPr>
                <w:rStyle w:val="ECCParagraph"/>
              </w:rPr>
              <w:t xml:space="preserve">doesn’t border </w:t>
            </w:r>
            <w:r w:rsidR="00A06071">
              <w:rPr>
                <w:rStyle w:val="ECCParagraph"/>
              </w:rPr>
              <w:t xml:space="preserve">this </w:t>
            </w:r>
            <w:r w:rsidR="00926D1F">
              <w:rPr>
                <w:rStyle w:val="ECCParagraph"/>
              </w:rPr>
              <w:t xml:space="preserve">service area </w:t>
            </w:r>
            <w:r w:rsidR="00F34995">
              <w:rPr>
                <w:rStyle w:val="ECCParagraph"/>
              </w:rPr>
              <w:t>overall</w:t>
            </w:r>
            <w:r w:rsidRPr="003A00D2">
              <w:t>;</w:t>
            </w:r>
          </w:p>
          <w:bookmarkEnd w:id="0"/>
          <w:p w14:paraId="4FE26C76" w14:textId="2DB4662A" w:rsidR="00860E3C" w:rsidRPr="00920400" w:rsidRDefault="00E30FA9" w:rsidP="003A00D2">
            <w:pPr>
              <w:pStyle w:val="ECCBulletsLv1"/>
              <w:rPr>
                <w:lang w:val="en-US"/>
              </w:rPr>
            </w:pPr>
            <w:r>
              <w:t xml:space="preserve">protection for the </w:t>
            </w:r>
            <w:r w:rsidR="0094570E">
              <w:t xml:space="preserve">operational </w:t>
            </w:r>
            <w:r>
              <w:t xml:space="preserve">stations of Broadcasting service that had been coordinated </w:t>
            </w:r>
            <w:r w:rsidR="00860E3C">
              <w:t>within the</w:t>
            </w:r>
            <w:r>
              <w:t xml:space="preserve"> </w:t>
            </w:r>
            <w:r w:rsidR="00860E3C" w:rsidRPr="00860E3C">
              <w:rPr>
                <w:rStyle w:val="ECCParagraph"/>
              </w:rPr>
              <w:t xml:space="preserve">framework of the </w:t>
            </w:r>
            <w:r w:rsidR="00860E3C" w:rsidRPr="00860E3C">
              <w:t>S</w:t>
            </w:r>
            <w:r w:rsidR="00860E3C">
              <w:t>T61</w:t>
            </w:r>
            <w:r w:rsidR="00860E3C" w:rsidRPr="00860E3C">
              <w:t xml:space="preserve"> </w:t>
            </w:r>
            <w:r w:rsidR="00975CFD">
              <w:t>Agreement</w:t>
            </w:r>
            <w:r w:rsidR="005471A2">
              <w:t xml:space="preserve"> shall be continued o</w:t>
            </w:r>
            <w:r w:rsidR="00E047A1">
              <w:t>f</w:t>
            </w:r>
            <w:r w:rsidR="005471A2">
              <w:t xml:space="preserve"> the </w:t>
            </w:r>
            <w:r w:rsidR="00E047A1">
              <w:t xml:space="preserve">same </w:t>
            </w:r>
            <w:r w:rsidR="005471A2">
              <w:t xml:space="preserve">level as it was when all European countries </w:t>
            </w:r>
            <w:r w:rsidR="006A6F14">
              <w:t>operated stations of analogue TV broadcasting</w:t>
            </w:r>
            <w:r w:rsidR="005471A2">
              <w:t>;</w:t>
            </w:r>
          </w:p>
          <w:p w14:paraId="7CC023E2" w14:textId="3ABD1AB9" w:rsidR="00F65308" w:rsidRPr="00860E3C" w:rsidRDefault="00F65308" w:rsidP="003A00D2">
            <w:pPr>
              <w:pStyle w:val="ECCBulletsLv1"/>
              <w:rPr>
                <w:lang w:val="en-US"/>
              </w:rPr>
            </w:pPr>
            <w:r>
              <w:t xml:space="preserve">any other new use of spectrum within the framework of the ST61 Agreement shall be protected at the same level as </w:t>
            </w:r>
            <w:r w:rsidRPr="003A00D2">
              <w:rPr>
                <w:rStyle w:val="ECCParagraph"/>
              </w:rPr>
              <w:t xml:space="preserve">analogue TV </w:t>
            </w:r>
            <w:r w:rsidRPr="00F65308">
              <w:rPr>
                <w:rStyle w:val="ECCParagraph"/>
              </w:rPr>
              <w:t>station</w:t>
            </w:r>
            <w:r>
              <w:rPr>
                <w:rStyle w:val="ECCParagraph"/>
              </w:rPr>
              <w:t>s.</w:t>
            </w:r>
          </w:p>
          <w:p w14:paraId="2D487BA6" w14:textId="484C3D2E" w:rsidR="003A00D2" w:rsidRPr="00E30FA9" w:rsidRDefault="00860E3C" w:rsidP="003A00D2">
            <w:pPr>
              <w:pStyle w:val="ECCBulletsLv1"/>
              <w:rPr>
                <w:lang w:val="en-US"/>
              </w:rPr>
            </w:pPr>
            <w:r>
              <w:t xml:space="preserve">any other use of spectrum </w:t>
            </w:r>
            <w:r w:rsidR="00F37A74">
              <w:t xml:space="preserve">outside </w:t>
            </w:r>
            <w:r w:rsidR="006A6F14">
              <w:t xml:space="preserve">the framework of the ST61 Agreement </w:t>
            </w:r>
            <w:r w:rsidR="00C239A9">
              <w:t>must</w:t>
            </w:r>
            <w:r>
              <w:t xml:space="preserve"> be coordinated under the provisions of Chapter III RR </w:t>
            </w:r>
            <w:r w:rsidR="000F75EA">
              <w:t>or</w:t>
            </w:r>
            <w:r>
              <w:t xml:space="preserve"> may be maintained on a basis of Article 4.4 RR on non-protected non-interference basis</w:t>
            </w:r>
            <w:r w:rsidR="00C239A9">
              <w:t xml:space="preserve"> only</w:t>
            </w:r>
            <w:r w:rsidR="00E30FA9">
              <w:t>;</w:t>
            </w:r>
          </w:p>
          <w:p w14:paraId="511F550E" w14:textId="5BB94201" w:rsidR="00E30FA9" w:rsidRPr="00E05A52" w:rsidRDefault="00DD1F79" w:rsidP="003A00D2">
            <w:pPr>
              <w:pStyle w:val="ECCBulletsLv1"/>
              <w:rPr>
                <w:lang w:val="en-US"/>
              </w:rPr>
            </w:pPr>
            <w:r>
              <w:t xml:space="preserve">number of analogue TV stations still listed in MIFR </w:t>
            </w:r>
            <w:r w:rsidR="00294570">
              <w:t>may be not</w:t>
            </w:r>
            <w:r>
              <w:t xml:space="preserve"> in actual use</w:t>
            </w:r>
            <w:r w:rsidR="00C0625B">
              <w:t>;</w:t>
            </w:r>
          </w:p>
          <w:p w14:paraId="09771A86" w14:textId="6F611E27" w:rsidR="00E05A52" w:rsidRPr="003A00D2" w:rsidRDefault="00C0625B" w:rsidP="003A00D2">
            <w:pPr>
              <w:pStyle w:val="ECCBulletsLv1"/>
              <w:rPr>
                <w:lang w:val="en-US"/>
              </w:rPr>
            </w:pPr>
            <w:r>
              <w:t xml:space="preserve">ITU RR introduces framework to protect </w:t>
            </w:r>
            <w:r w:rsidR="001C4B02">
              <w:t xml:space="preserve">stations and their </w:t>
            </w:r>
            <w:r w:rsidRPr="00C0625B">
              <w:t>service</w:t>
            </w:r>
            <w:r w:rsidR="001C4B02">
              <w:t xml:space="preserve"> area</w:t>
            </w:r>
            <w:r w:rsidRPr="00C0625B">
              <w:t>s</w:t>
            </w:r>
            <w:r w:rsidR="007F1A8C">
              <w:t>,</w:t>
            </w:r>
            <w:r>
              <w:t xml:space="preserve"> </w:t>
            </w:r>
            <w:r w:rsidR="001C4B02">
              <w:t xml:space="preserve">but </w:t>
            </w:r>
            <w:r>
              <w:t>not national borders.</w:t>
            </w:r>
          </w:p>
          <w:p w14:paraId="16E1F5A2" w14:textId="1F368650" w:rsidR="0054452F" w:rsidRPr="00263FFB" w:rsidRDefault="0054452F" w:rsidP="001A27C9">
            <w:pPr>
              <w:pStyle w:val="ECCBulletsLv2"/>
              <w:numPr>
                <w:ilvl w:val="0"/>
                <w:numId w:val="0"/>
              </w:numPr>
            </w:pPr>
          </w:p>
        </w:tc>
      </w:tr>
      <w:tr w:rsidR="00263FFB" w:rsidRPr="00A3755D" w14:paraId="6EFB683C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4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0BFC7404" w14:textId="77777777" w:rsidR="00263FFB" w:rsidRPr="00263FFB" w:rsidRDefault="00263FFB" w:rsidP="00263FFB">
            <w:pPr>
              <w:pStyle w:val="ECCLetterHead"/>
            </w:pPr>
            <w:r w:rsidRPr="00A3755D">
              <w:t>Background:</w:t>
            </w:r>
          </w:p>
        </w:tc>
      </w:tr>
      <w:tr w:rsidR="00265F50" w:rsidRPr="00A3755D" w14:paraId="2F1C0DAA" w14:textId="77777777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8"/>
        </w:trPr>
        <w:tc>
          <w:tcPr>
            <w:tcW w:w="9781" w:type="dxa"/>
            <w:gridSpan w:val="4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3DDABB23" w14:textId="77777777" w:rsidR="009E1CEA" w:rsidRDefault="009E1CEA" w:rsidP="009E1CEA">
            <w:pPr>
              <w:pStyle w:val="ECCTabletext"/>
              <w:rPr>
                <w:rStyle w:val="ECCHLbold"/>
              </w:rPr>
            </w:pPr>
            <w:r>
              <w:rPr>
                <w:rStyle w:val="ECCHLbold"/>
              </w:rPr>
              <w:t xml:space="preserve">   </w:t>
            </w:r>
          </w:p>
          <w:p w14:paraId="43E6B1B3" w14:textId="2A6B465D" w:rsidR="003A6C5C" w:rsidRDefault="002E74BC" w:rsidP="009E1CEA">
            <w:pPr>
              <w:pStyle w:val="ECCTabletext"/>
            </w:pPr>
            <w:r>
              <w:t>F</w:t>
            </w:r>
            <w:r w:rsidR="003A6C5C" w:rsidRPr="003A6C5C">
              <w:t>requency band 50-5</w:t>
            </w:r>
            <w:r w:rsidR="003A6C5C">
              <w:t>2</w:t>
            </w:r>
            <w:r w:rsidR="003A6C5C" w:rsidRPr="003A6C5C">
              <w:t xml:space="preserve"> MHz was covered by the S</w:t>
            </w:r>
            <w:r w:rsidR="00975CFD">
              <w:t>T</w:t>
            </w:r>
            <w:r w:rsidR="003A6C5C" w:rsidRPr="003A6C5C">
              <w:t xml:space="preserve">61 Agreement and </w:t>
            </w:r>
            <w:r w:rsidR="003A6C5C">
              <w:t>still in</w:t>
            </w:r>
            <w:r w:rsidR="003A6C5C" w:rsidRPr="003A6C5C">
              <w:t xml:space="preserve"> use for </w:t>
            </w:r>
            <w:r w:rsidR="003A6C5C">
              <w:t xml:space="preserve">analogue </w:t>
            </w:r>
            <w:r w:rsidR="003A6C5C" w:rsidRPr="003A6C5C">
              <w:t xml:space="preserve">television (TV) broadcasting in some countries. </w:t>
            </w:r>
          </w:p>
          <w:p w14:paraId="0ABCD908" w14:textId="77777777" w:rsidR="003A6C5C" w:rsidRDefault="003A6C5C" w:rsidP="009E1CEA">
            <w:pPr>
              <w:pStyle w:val="ECCTabletext"/>
            </w:pPr>
          </w:p>
          <w:p w14:paraId="2EEBC878" w14:textId="6CAF9994" w:rsidR="003B7DC1" w:rsidRDefault="002E74BC" w:rsidP="009E1CEA">
            <w:pPr>
              <w:pStyle w:val="ECCTabletext"/>
              <w:rPr>
                <w:rStyle w:val="ECCHLbold"/>
              </w:rPr>
            </w:pPr>
            <w:r>
              <w:t>It shall be noted</w:t>
            </w:r>
            <w:r w:rsidR="003B7DC1">
              <w:t xml:space="preserve"> that </w:t>
            </w:r>
            <w:r>
              <w:t>Broadcasting</w:t>
            </w:r>
            <w:r w:rsidR="003B7DC1">
              <w:t xml:space="preserve"> is allocated </w:t>
            </w:r>
            <w:r>
              <w:t>as</w:t>
            </w:r>
            <w:r w:rsidR="003B7DC1">
              <w:t xml:space="preserve"> </w:t>
            </w:r>
            <w:r>
              <w:t xml:space="preserve">a </w:t>
            </w:r>
            <w:r w:rsidR="003B7DC1">
              <w:t xml:space="preserve">primary service </w:t>
            </w:r>
            <w:r w:rsidR="00BB204E">
              <w:t xml:space="preserve">according to </w:t>
            </w:r>
            <w:r w:rsidR="00BB204E" w:rsidRPr="00BB204E">
              <w:t xml:space="preserve">Article 5 </w:t>
            </w:r>
            <w:r w:rsidR="00BB204E">
              <w:t xml:space="preserve">of the </w:t>
            </w:r>
            <w:r w:rsidR="00BB204E" w:rsidRPr="00BB204E">
              <w:t>R</w:t>
            </w:r>
            <w:r w:rsidR="00BB204E">
              <w:t xml:space="preserve">adio </w:t>
            </w:r>
            <w:r w:rsidR="00BB204E" w:rsidRPr="00BB204E">
              <w:t>R</w:t>
            </w:r>
            <w:r w:rsidR="00BB204E">
              <w:t>egulations</w:t>
            </w:r>
            <w:r>
              <w:t xml:space="preserve"> on </w:t>
            </w:r>
            <w:r w:rsidR="0013572C">
              <w:t xml:space="preserve">a </w:t>
            </w:r>
            <w:r>
              <w:t>non</w:t>
            </w:r>
            <w:r w:rsidR="0013572C">
              <w:t>-</w:t>
            </w:r>
            <w:r>
              <w:t>exclusive basis</w:t>
            </w:r>
            <w:r w:rsidR="00BB204E">
              <w:t xml:space="preserve"> along with other </w:t>
            </w:r>
            <w:r w:rsidR="00EE2711">
              <w:t xml:space="preserve">radio </w:t>
            </w:r>
            <w:r w:rsidR="00BB204E">
              <w:t>services allocated within the same band.</w:t>
            </w:r>
          </w:p>
          <w:p w14:paraId="26767FFB" w14:textId="3AC5B004" w:rsidR="009E1CEA" w:rsidRDefault="003D067A" w:rsidP="009E1CEA">
            <w:r>
              <w:t>E</w:t>
            </w:r>
            <w:r w:rsidRPr="003D067A">
              <w:t xml:space="preserve">lectromagnetic compatibility (EMC) between </w:t>
            </w:r>
            <w:r>
              <w:t>stations of A</w:t>
            </w:r>
            <w:r w:rsidRPr="003D067A">
              <w:t>mateur service in the 50</w:t>
            </w:r>
            <w:r w:rsidR="000912F1">
              <w:t>-52</w:t>
            </w:r>
            <w:r w:rsidRPr="003D067A">
              <w:t xml:space="preserve"> MHz band and </w:t>
            </w:r>
            <w:r w:rsidR="000912F1">
              <w:t>analogue TV stations of B</w:t>
            </w:r>
            <w:r w:rsidRPr="003D067A">
              <w:t>roadcasting service</w:t>
            </w:r>
            <w:r w:rsidR="000912F1">
              <w:t xml:space="preserve"> can be assessed on a basis of </w:t>
            </w:r>
            <w:r w:rsidR="000912F1" w:rsidRPr="000912F1">
              <w:t>Recommendation ITU-R SM.851-1 "Sharing between the broadcasting service and the fixed and/or mobile services in the VHF and UHF bands" and Recommendation ITU-R P.1546 "Method for point-to-area predictions for terrestrial services in the frequency range 30 MHz to 3 000 MHz"</w:t>
            </w:r>
            <w:r w:rsidR="000912F1">
              <w:t>.</w:t>
            </w:r>
          </w:p>
          <w:p w14:paraId="58438875" w14:textId="237009B5" w:rsidR="00E80AC9" w:rsidRDefault="00E80AC9" w:rsidP="009E1CEA"/>
          <w:p w14:paraId="79F09389" w14:textId="2AD6AB94" w:rsidR="00F62E44" w:rsidRPr="00F62E44" w:rsidRDefault="00F62E44" w:rsidP="00F62E44">
            <w:r w:rsidRPr="00F62E44">
              <w:t xml:space="preserve">Calculations didn’t </w:t>
            </w:r>
            <w:r w:rsidR="00CC3B30" w:rsidRPr="00F62E44">
              <w:t>consider</w:t>
            </w:r>
            <w:r w:rsidRPr="00F62E44">
              <w:t xml:space="preserve"> </w:t>
            </w:r>
            <w:r w:rsidR="007D3CE2">
              <w:t>co-channels</w:t>
            </w:r>
            <w:r w:rsidRPr="00F62E44">
              <w:t xml:space="preserve"> interferences created by these stations to each other to indicate maximum possible size of service area of each station in case the neighbouring stations are </w:t>
            </w:r>
            <w:r w:rsidR="000268F0" w:rsidRPr="00F62E44">
              <w:t>closed</w:t>
            </w:r>
            <w:r w:rsidRPr="00F62E44">
              <w:t>.</w:t>
            </w:r>
          </w:p>
          <w:p w14:paraId="63BA7F3A" w14:textId="03E43FF6" w:rsidR="00E80AC9" w:rsidRDefault="00223566" w:rsidP="009E1CEA">
            <w:r>
              <w:t xml:space="preserve">Graphical </w:t>
            </w:r>
            <w:r w:rsidR="008A0053">
              <w:t>display</w:t>
            </w:r>
            <w:r>
              <w:t xml:space="preserve"> of the calculations of </w:t>
            </w:r>
            <w:r w:rsidR="008B07E9">
              <w:t xml:space="preserve">the </w:t>
            </w:r>
            <w:r>
              <w:t xml:space="preserve">service areas </w:t>
            </w:r>
            <w:r w:rsidR="00F62E44">
              <w:t xml:space="preserve">of </w:t>
            </w:r>
            <w:r>
              <w:t xml:space="preserve">analogue TV broadcasting sites in </w:t>
            </w:r>
            <w:r w:rsidR="0090222D">
              <w:t xml:space="preserve">the </w:t>
            </w:r>
            <w:r>
              <w:t>Baltic region</w:t>
            </w:r>
            <w:r w:rsidR="009254B2">
              <w:t>,</w:t>
            </w:r>
            <w:r w:rsidR="008B07E9">
              <w:t xml:space="preserve"> </w:t>
            </w:r>
            <w:r w:rsidR="009254B2">
              <w:t>b</w:t>
            </w:r>
            <w:r w:rsidR="008B07E9">
              <w:t xml:space="preserve">ased on MIFR entries RUS-NTFD_RR-096016857, </w:t>
            </w:r>
            <w:r w:rsidR="008B07E9" w:rsidRPr="008B07E9">
              <w:t>RUS-NTFD_RR-09</w:t>
            </w:r>
            <w:r w:rsidR="008B07E9">
              <w:t xml:space="preserve">7006798, </w:t>
            </w:r>
            <w:r w:rsidR="008B07E9" w:rsidRPr="008B07E9">
              <w:t>RUS-NTFD_RR-09</w:t>
            </w:r>
            <w:r w:rsidR="008B07E9">
              <w:t xml:space="preserve">7006792 and </w:t>
            </w:r>
            <w:r w:rsidR="008B07E9" w:rsidRPr="008B07E9">
              <w:t>RUS-NTFD_RR-</w:t>
            </w:r>
            <w:r w:rsidR="008B07E9">
              <w:t>104035589.</w:t>
            </w:r>
          </w:p>
          <w:p w14:paraId="124776D9" w14:textId="347F8212" w:rsidR="00E80AC9" w:rsidRDefault="00E80AC9" w:rsidP="009E1CEA">
            <w:r>
              <w:rPr>
                <w:noProof/>
                <w:lang w:val="en-US"/>
              </w:rPr>
              <w:drawing>
                <wp:inline distT="0" distB="0" distL="0" distR="0" wp14:anchorId="6CA66ABB" wp14:editId="47286A43">
                  <wp:extent cx="5247640" cy="46951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640" cy="469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76E525" w14:textId="509A52FD" w:rsidR="00F62E44" w:rsidRPr="00F62E44" w:rsidRDefault="00F62E44" w:rsidP="00F62E44">
            <w:r w:rsidRPr="00F62E44">
              <w:t>Graphical illustration of the calculation of the service area</w:t>
            </w:r>
            <w:r>
              <w:t xml:space="preserve"> of </w:t>
            </w:r>
            <w:r w:rsidR="009C583D">
              <w:t>d</w:t>
            </w:r>
            <w:r w:rsidR="009C583D" w:rsidRPr="009C583D">
              <w:t xml:space="preserve"> = 10 km </w:t>
            </w:r>
            <w:r w:rsidR="009C583D">
              <w:t xml:space="preserve">width of </w:t>
            </w:r>
            <w:r w:rsidRPr="00F62E44">
              <w:t>analogue TV broadcasting site</w:t>
            </w:r>
            <w:r w:rsidR="00193F31">
              <w:t xml:space="preserve"> b</w:t>
            </w:r>
            <w:r w:rsidRPr="00F62E44">
              <w:t>ased on MIFR entr</w:t>
            </w:r>
            <w:r w:rsidR="00193F31">
              <w:t>y</w:t>
            </w:r>
            <w:r w:rsidRPr="00F62E44">
              <w:t xml:space="preserve"> RUS-NTFD_RR-104035589.</w:t>
            </w:r>
          </w:p>
          <w:p w14:paraId="59782D58" w14:textId="61533AE5" w:rsidR="00223566" w:rsidRDefault="00223566" w:rsidP="009E1CEA">
            <w:r>
              <w:rPr>
                <w:noProof/>
                <w:lang w:val="en-US"/>
              </w:rPr>
              <w:drawing>
                <wp:inline distT="0" distB="0" distL="0" distR="0" wp14:anchorId="1FC3A449" wp14:editId="677375F0">
                  <wp:extent cx="5767070" cy="3980815"/>
                  <wp:effectExtent l="0" t="0" r="508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070" cy="398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B1D4E9" w14:textId="77777777" w:rsidR="00223566" w:rsidRDefault="00223566" w:rsidP="009E1CEA"/>
          <w:p w14:paraId="4F58D06F" w14:textId="3F585944" w:rsidR="000912F1" w:rsidRDefault="00BB2727" w:rsidP="009E1CEA">
            <w:r w:rsidRPr="00BB2727">
              <w:t>The assumptions used:</w:t>
            </w:r>
          </w:p>
          <w:p w14:paraId="55C4FE6D" w14:textId="399075B3" w:rsidR="00BB2727" w:rsidRDefault="00131D00" w:rsidP="009E1CEA">
            <w:r w:rsidRPr="000912F1">
              <w:t>Recommendation ITU-R P.1546</w:t>
            </w:r>
            <w:r>
              <w:t>-5</w:t>
            </w:r>
            <w:r w:rsidRPr="000912F1">
              <w:t xml:space="preserve"> "Method for point-to-area predictions for terrestrial services in the frequency range 30 MHz to 3 000 MHz"</w:t>
            </w:r>
            <w:r>
              <w:t xml:space="preserve">. </w:t>
            </w:r>
            <w:r w:rsidR="00BB2727">
              <w:t>Minimum w</w:t>
            </w:r>
            <w:r w:rsidR="00BB2727" w:rsidRPr="00BB2727">
              <w:t>anted field strength</w:t>
            </w:r>
            <w:r w:rsidR="00BB2727">
              <w:t xml:space="preserve"> of analogue TV transmitter </w:t>
            </w:r>
            <w:r w:rsidR="00BB2727" w:rsidRPr="00BB2727">
              <w:t>on the boundary of the coverage area (</w:t>
            </w:r>
            <w:bookmarkStart w:id="1" w:name="_Hlk520878831"/>
            <w:r w:rsidR="00BB2727" w:rsidRPr="00BB2727">
              <w:t>in 50% of the locations, 90% of the time</w:t>
            </w:r>
            <w:bookmarkEnd w:id="1"/>
            <w:r w:rsidR="00BB2727" w:rsidRPr="00BB2727">
              <w:t>)</w:t>
            </w:r>
            <w:r w:rsidR="00BB2727">
              <w:t xml:space="preserve"> – </w:t>
            </w:r>
            <w:r w:rsidR="00BB2727" w:rsidRPr="00BB2727">
              <w:t>46</w:t>
            </w:r>
            <w:r w:rsidR="00BB2727">
              <w:t xml:space="preserve"> </w:t>
            </w:r>
            <w:proofErr w:type="spellStart"/>
            <w:r w:rsidR="00BB2727" w:rsidRPr="00BB2727">
              <w:t>dBμV</w:t>
            </w:r>
            <w:proofErr w:type="spellEnd"/>
            <w:r w:rsidR="00BB2727" w:rsidRPr="00BB2727">
              <w:t>/m</w:t>
            </w:r>
            <w:r w:rsidR="00BB2727">
              <w:t xml:space="preserve"> </w:t>
            </w:r>
            <w:r w:rsidR="00BB2727" w:rsidRPr="00BB2727">
              <w:t>at a height of 10 meters</w:t>
            </w:r>
            <w:r w:rsidR="00BB2727">
              <w:t>.</w:t>
            </w:r>
            <w:r w:rsidR="008C2C80">
              <w:t xml:space="preserve"> </w:t>
            </w:r>
          </w:p>
          <w:p w14:paraId="7E4E5C33" w14:textId="77777777" w:rsidR="003529C9" w:rsidRDefault="003529C9" w:rsidP="009E1CEA"/>
          <w:p w14:paraId="735FA358" w14:textId="12C9CFD4" w:rsidR="008C2C80" w:rsidRDefault="008C2C80" w:rsidP="009E1CEA">
            <w:r>
              <w:t xml:space="preserve">The nominal frequency of </w:t>
            </w:r>
            <w:r w:rsidR="00DC7B42">
              <w:t>analogue TV station – 52,5 MHz</w:t>
            </w:r>
            <w:r w:rsidR="00D515FC">
              <w:t xml:space="preserve">, vision carrier frequency 49,75 </w:t>
            </w:r>
            <w:proofErr w:type="spellStart"/>
            <w:r w:rsidR="00D515FC">
              <w:t>MHz.</w:t>
            </w:r>
            <w:proofErr w:type="spellEnd"/>
          </w:p>
          <w:p w14:paraId="6336BDC6" w14:textId="7BD1A2C4" w:rsidR="009C2F7B" w:rsidRDefault="00CD216D" w:rsidP="009E1CEA">
            <w:r>
              <w:t>Value of the p</w:t>
            </w:r>
            <w:r w:rsidR="009C2F7B">
              <w:t>rotection ratio</w:t>
            </w:r>
            <w:r>
              <w:t>,</w:t>
            </w:r>
            <w:r w:rsidR="009C2F7B">
              <w:t xml:space="preserve"> </w:t>
            </w:r>
            <w:r>
              <w:t xml:space="preserve">required to protect analogue TV channel, </w:t>
            </w:r>
            <w:r w:rsidR="009C2F7B">
              <w:t xml:space="preserve">differs by 6 dB </w:t>
            </w:r>
            <w:r>
              <w:t xml:space="preserve">in the band 50–52 MHz, so it </w:t>
            </w:r>
            <w:r w:rsidR="00CE26FE">
              <w:t xml:space="preserve">creates </w:t>
            </w:r>
            <w:r w:rsidR="0095368A">
              <w:t xml:space="preserve">space for an </w:t>
            </w:r>
            <w:r w:rsidR="00F2335F">
              <w:t xml:space="preserve">increase </w:t>
            </w:r>
            <w:r w:rsidR="0095368A">
              <w:t xml:space="preserve">of </w:t>
            </w:r>
            <w:r w:rsidR="00466ADF">
              <w:t xml:space="preserve">the limit of the </w:t>
            </w:r>
            <w:r w:rsidR="00466ADF" w:rsidRPr="006D0EFE">
              <w:t>field strength</w:t>
            </w:r>
            <w:r w:rsidR="00466ADF">
              <w:t xml:space="preserve"> created by the Amateur service station</w:t>
            </w:r>
            <w:r w:rsidR="00F2335F">
              <w:t xml:space="preserve"> in </w:t>
            </w:r>
            <w:r w:rsidR="007D3B3D">
              <w:t xml:space="preserve">a </w:t>
            </w:r>
            <w:r w:rsidR="00F2335F">
              <w:t>part of the band</w:t>
            </w:r>
            <w:r w:rsidR="00114B3B">
              <w:t xml:space="preserve"> still ensuring sharing with the Broadcasting service</w:t>
            </w:r>
            <w:r w:rsidR="00466ADF">
              <w:t>.</w:t>
            </w:r>
          </w:p>
          <w:p w14:paraId="345E3ECD" w14:textId="15D88DE8" w:rsidR="00F37A74" w:rsidRDefault="00473B74" w:rsidP="009E1CEA">
            <w:r>
              <w:t>It shall be noted that o</w:t>
            </w:r>
            <w:r w:rsidR="00F37A74">
              <w:t xml:space="preserve">ther than analogue TV uses of spectrum may </w:t>
            </w:r>
            <w:r>
              <w:t xml:space="preserve">require even less protection in comparison to vulnerable analogue technologies (i.e. </w:t>
            </w:r>
            <w:r w:rsidR="00D53B55">
              <w:t>DVB-T</w:t>
            </w:r>
            <w:r>
              <w:t>, Europe and Asia practices)</w:t>
            </w:r>
            <w:r w:rsidR="006B216A">
              <w:t xml:space="preserve">, </w:t>
            </w:r>
            <w:r w:rsidR="00FC4D72">
              <w:t xml:space="preserve">protection ratio </w:t>
            </w:r>
            <w:r w:rsidR="006B216A">
              <w:t xml:space="preserve">around 20 </w:t>
            </w:r>
            <w:proofErr w:type="spellStart"/>
            <w:r w:rsidR="006B216A">
              <w:t>dB</w:t>
            </w:r>
            <w:r>
              <w:t>.</w:t>
            </w:r>
            <w:proofErr w:type="spellEnd"/>
          </w:p>
          <w:p w14:paraId="639EF760" w14:textId="4F647EAE" w:rsidR="000912F1" w:rsidRDefault="000912F1" w:rsidP="009E1CEA"/>
          <w:p w14:paraId="369B8A14" w14:textId="77777777" w:rsidR="00EF6851" w:rsidRPr="00BA1E7B" w:rsidRDefault="00EF6851" w:rsidP="009E1CEA"/>
          <w:p w14:paraId="2B18989A" w14:textId="77777777" w:rsidR="009E1CEA" w:rsidRPr="00DC3FCB" w:rsidRDefault="009E1CEA" w:rsidP="009E1CEA">
            <w:pPr>
              <w:pStyle w:val="ECCTabletext"/>
              <w:rPr>
                <w:rStyle w:val="ECCHLbold"/>
              </w:rPr>
            </w:pPr>
            <w:r w:rsidRPr="00DC3FCB">
              <w:rPr>
                <w:rStyle w:val="ECCHLbold"/>
              </w:rPr>
              <w:t>…/…</w:t>
            </w:r>
          </w:p>
          <w:p w14:paraId="69A30C4E" w14:textId="77777777" w:rsidR="00265F50" w:rsidRPr="00265F50" w:rsidRDefault="00265F50" w:rsidP="00265F50">
            <w:pPr>
              <w:pStyle w:val="ECCTabletext"/>
            </w:pPr>
          </w:p>
        </w:tc>
      </w:tr>
    </w:tbl>
    <w:p w14:paraId="6244F9DD" w14:textId="77777777" w:rsidR="001B0583" w:rsidRDefault="001B0583" w:rsidP="001B0583">
      <w:pPr>
        <w:pStyle w:val="ECCTablenote"/>
        <w:rPr>
          <w:rStyle w:val="ECCParagraph"/>
        </w:rPr>
      </w:pPr>
    </w:p>
    <w:p w14:paraId="0B327B97" w14:textId="77777777" w:rsidR="00492EA9" w:rsidRDefault="00492EA9">
      <w:pPr>
        <w:rPr>
          <w:rStyle w:val="ECCParagraph"/>
          <w:rFonts w:eastAsia="Times New Roman" w:cs="Arial"/>
          <w:b/>
          <w:bCs/>
          <w:caps/>
          <w:color w:val="D2232A"/>
          <w:kern w:val="32"/>
          <w:szCs w:val="32"/>
          <w:lang w:val="fr-FR"/>
        </w:rPr>
      </w:pPr>
      <w:r>
        <w:rPr>
          <w:rStyle w:val="ECCParagraph"/>
          <w:lang w:val="fr-FR"/>
        </w:rPr>
        <w:br w:type="page"/>
      </w:r>
    </w:p>
    <w:p w14:paraId="2ABBFD57" w14:textId="77777777" w:rsidR="00A751C0" w:rsidRDefault="00492EA9" w:rsidP="00B44166">
      <w:pPr>
        <w:pStyle w:val="ECCHeadingnonumbering"/>
        <w:rPr>
          <w:rStyle w:val="ECCParagraph"/>
        </w:rPr>
      </w:pPr>
      <w:r w:rsidRPr="00B323F9">
        <w:rPr>
          <w:rStyle w:val="ECCParagraph"/>
        </w:rPr>
        <w:t>Annex</w:t>
      </w:r>
    </w:p>
    <w:p w14:paraId="08F2AFE7" w14:textId="29A0A692" w:rsidR="004375FE" w:rsidRDefault="004375FE" w:rsidP="00B323F9">
      <w:pPr>
        <w:pStyle w:val="ECCTabletext"/>
        <w:rPr>
          <w:rStyle w:val="ECCHLbold"/>
        </w:rPr>
      </w:pPr>
      <w:r>
        <w:rPr>
          <w:rStyle w:val="ECCHLbold"/>
        </w:rPr>
        <w:t xml:space="preserve">Proposal for the </w:t>
      </w:r>
      <w:r w:rsidR="002C1583">
        <w:rPr>
          <w:rStyle w:val="ECCHLbold"/>
        </w:rPr>
        <w:t>S</w:t>
      </w:r>
      <w:r w:rsidR="00A5398F">
        <w:rPr>
          <w:rStyle w:val="ECCHLbold"/>
        </w:rPr>
        <w:t xml:space="preserve">haring with Broadcasting </w:t>
      </w:r>
      <w:r w:rsidR="008F5300">
        <w:rPr>
          <w:rStyle w:val="ECCHLbold"/>
        </w:rPr>
        <w:t>S</w:t>
      </w:r>
      <w:r w:rsidR="00A5398F">
        <w:rPr>
          <w:rStyle w:val="ECCHLbold"/>
        </w:rPr>
        <w:t>ervice</w:t>
      </w:r>
      <w:r>
        <w:rPr>
          <w:rStyle w:val="ECCHLbold"/>
        </w:rPr>
        <w:t xml:space="preserve"> section </w:t>
      </w:r>
      <w:r w:rsidR="00734BCA">
        <w:rPr>
          <w:rStyle w:val="ECCHLbold"/>
        </w:rPr>
        <w:t xml:space="preserve">3.2 </w:t>
      </w:r>
      <w:r>
        <w:rPr>
          <w:rStyle w:val="ECCHLbold"/>
        </w:rPr>
        <w:t xml:space="preserve">of the </w:t>
      </w:r>
      <w:bookmarkStart w:id="2" w:name="_Hlk520360270"/>
      <w:r>
        <w:rPr>
          <w:rStyle w:val="ECCHLbold"/>
        </w:rPr>
        <w:t xml:space="preserve">CEPT Brief on </w:t>
      </w:r>
      <w:proofErr w:type="spellStart"/>
      <w:r w:rsidR="006841A6" w:rsidRPr="006841A6">
        <w:rPr>
          <w:rStyle w:val="ECCHLbold"/>
        </w:rPr>
        <w:t>on</w:t>
      </w:r>
      <w:proofErr w:type="spellEnd"/>
      <w:r w:rsidR="006841A6" w:rsidRPr="006841A6">
        <w:rPr>
          <w:rStyle w:val="ECCHLbold"/>
        </w:rPr>
        <w:t xml:space="preserve"> WRC-19 </w:t>
      </w:r>
      <w:r>
        <w:rPr>
          <w:rStyle w:val="ECCHLbold"/>
        </w:rPr>
        <w:t>agenda item 1.1</w:t>
      </w:r>
      <w:bookmarkEnd w:id="2"/>
    </w:p>
    <w:p w14:paraId="6152D45B" w14:textId="77777777" w:rsidR="00E15D2D" w:rsidRDefault="00E15D2D" w:rsidP="00B323F9">
      <w:pPr>
        <w:pStyle w:val="ECCTabletext"/>
        <w:rPr>
          <w:rStyle w:val="ECCHLbold"/>
        </w:rPr>
      </w:pPr>
    </w:p>
    <w:p w14:paraId="41A9A40A" w14:textId="77777777" w:rsidR="004375FE" w:rsidRDefault="00E15D2D" w:rsidP="00B323F9">
      <w:pPr>
        <w:pStyle w:val="ECCTabletext"/>
        <w:rPr>
          <w:rStyle w:val="ECCHLbold"/>
        </w:rPr>
      </w:pPr>
      <w:r>
        <w:rPr>
          <w:rStyle w:val="ECCHLbold"/>
        </w:rPr>
        <w:t>…/…</w:t>
      </w:r>
    </w:p>
    <w:p w14:paraId="2406EC93" w14:textId="2ADF9F0B" w:rsidR="00E15D2D" w:rsidRPr="00E15D2D" w:rsidRDefault="00A61DED" w:rsidP="00A61DED">
      <w:pPr>
        <w:pStyle w:val="Heading1"/>
        <w:numPr>
          <w:ilvl w:val="0"/>
          <w:numId w:val="0"/>
        </w:numPr>
        <w:ind w:left="720"/>
      </w:pPr>
      <w:r>
        <w:t>3.2 SHARING WITH BROADCASTING SERVICE</w:t>
      </w:r>
    </w:p>
    <w:p w14:paraId="38AE8E2E" w14:textId="77777777" w:rsidR="00E15D2D" w:rsidRDefault="00E15D2D" w:rsidP="001A2615">
      <w:pPr>
        <w:pStyle w:val="ECCTabletext"/>
        <w:rPr>
          <w:rStyle w:val="ECCHLbold"/>
        </w:rPr>
      </w:pPr>
    </w:p>
    <w:p w14:paraId="1B915F31" w14:textId="77777777" w:rsidR="001A27C9" w:rsidRDefault="001A27C9" w:rsidP="001A27C9">
      <w:r>
        <w:rPr>
          <w:rStyle w:val="ECCParagraph"/>
        </w:rPr>
        <w:t xml:space="preserve">   </w:t>
      </w:r>
    </w:p>
    <w:p w14:paraId="02DD9C8C" w14:textId="1DE2742B" w:rsidR="008F5300" w:rsidRDefault="006D0EFE" w:rsidP="006D0EFE">
      <w:bookmarkStart w:id="3" w:name="_Hlk520363146"/>
      <w:r w:rsidRPr="006D0EFE">
        <w:t xml:space="preserve"> </w:t>
      </w:r>
      <w:r w:rsidR="00BC0AC3">
        <w:t>P</w:t>
      </w:r>
      <w:r w:rsidRPr="006D0EFE">
        <w:t xml:space="preserve">rotection of the broadcasting service requires that the amateur service stations’ field strength values do not exceed 6 </w:t>
      </w:r>
      <w:proofErr w:type="spellStart"/>
      <w:r w:rsidRPr="006D0EFE">
        <w:t>dBμV</w:t>
      </w:r>
      <w:proofErr w:type="spellEnd"/>
      <w:r w:rsidRPr="006D0EFE">
        <w:t xml:space="preserve">/m </w:t>
      </w:r>
      <w:r w:rsidR="00A563FC" w:rsidRPr="00FC3622">
        <w:t>within 50-51</w:t>
      </w:r>
      <w:r w:rsidR="00A563FC">
        <w:t>,25</w:t>
      </w:r>
      <w:r w:rsidR="00A563FC" w:rsidRPr="00FC3622">
        <w:t xml:space="preserve"> MHz band and </w:t>
      </w:r>
      <w:r w:rsidR="00A563FC">
        <w:t>12</w:t>
      </w:r>
      <w:r w:rsidR="00A563FC" w:rsidRPr="00FC3622">
        <w:t xml:space="preserve"> </w:t>
      </w:r>
      <w:proofErr w:type="spellStart"/>
      <w:r w:rsidR="00A563FC" w:rsidRPr="00FC3622">
        <w:t>dBμV</w:t>
      </w:r>
      <w:proofErr w:type="spellEnd"/>
      <w:r w:rsidR="00A563FC" w:rsidRPr="00FC3622">
        <w:t>/m within 51,</w:t>
      </w:r>
      <w:r w:rsidR="00A563FC">
        <w:t>2</w:t>
      </w:r>
      <w:r w:rsidR="00A563FC" w:rsidRPr="00FC3622">
        <w:t xml:space="preserve">5-52 MHz band </w:t>
      </w:r>
      <w:r w:rsidRPr="006D0EFE">
        <w:t xml:space="preserve">for more than 10% of time </w:t>
      </w:r>
      <w:r w:rsidR="00A563FC">
        <w:rPr>
          <w:rStyle w:val="ECCParagraph"/>
        </w:rPr>
        <w:t xml:space="preserve"> </w:t>
      </w:r>
      <w:r w:rsidR="00CF2CFC" w:rsidRPr="00FC3622">
        <w:t xml:space="preserve">at any point inside the service area </w:t>
      </w:r>
      <w:r w:rsidR="00431A26">
        <w:t>(</w:t>
      </w:r>
      <w:r w:rsidR="00884784">
        <w:t>within</w:t>
      </w:r>
      <w:r w:rsidR="00431A26">
        <w:t xml:space="preserve"> the 46 </w:t>
      </w:r>
      <w:proofErr w:type="spellStart"/>
      <w:r w:rsidR="00431A26" w:rsidRPr="00FC3622">
        <w:t>dBμV</w:t>
      </w:r>
      <w:proofErr w:type="spellEnd"/>
      <w:r w:rsidR="00431A26" w:rsidRPr="00FC3622">
        <w:t xml:space="preserve">/m </w:t>
      </w:r>
      <w:r w:rsidR="00431A26">
        <w:t xml:space="preserve">boundary </w:t>
      </w:r>
      <w:r w:rsidR="00431A26" w:rsidRPr="00BB2727">
        <w:t>in 50% of the locations, 90% of the time</w:t>
      </w:r>
      <w:r w:rsidR="00431A26">
        <w:t xml:space="preserve"> for each station) </w:t>
      </w:r>
      <w:r w:rsidR="00CF2CFC" w:rsidRPr="00FC3622">
        <w:t xml:space="preserve">of </w:t>
      </w:r>
      <w:r w:rsidR="00C22386">
        <w:t>a</w:t>
      </w:r>
      <w:r w:rsidR="00CF2CFC" w:rsidRPr="00FC3622">
        <w:t xml:space="preserve"> broadcasting station</w:t>
      </w:r>
      <w:r w:rsidR="00C22386">
        <w:t xml:space="preserve"> in operation</w:t>
      </w:r>
      <w:r w:rsidRPr="006D0EFE">
        <w:t xml:space="preserve">, measured at a height of 10 m above ground. </w:t>
      </w:r>
      <w:bookmarkEnd w:id="3"/>
    </w:p>
    <w:p w14:paraId="011FE624" w14:textId="4F8797A6" w:rsidR="006D0EFE" w:rsidRPr="006D0EFE" w:rsidRDefault="006D0EFE" w:rsidP="006D0EFE">
      <w:r w:rsidRPr="006D0EFE">
        <w:rPr>
          <w:rStyle w:val="ECCParagraph"/>
        </w:rPr>
        <w:t>Administrations shall be required to assess and if necessary to coordinate the usage of the band by the amateur service</w:t>
      </w:r>
      <w:r w:rsidRPr="006D0EFE">
        <w:t>.</w:t>
      </w:r>
    </w:p>
    <w:p w14:paraId="3FCCB577" w14:textId="77777777" w:rsidR="006D0EFE" w:rsidRPr="006D0EFE" w:rsidRDefault="006D0EFE" w:rsidP="006D0EFE">
      <w:r w:rsidRPr="006D0EFE">
        <w:t xml:space="preserve">This provision does not apply to countries listed in No </w:t>
      </w:r>
      <w:r w:rsidRPr="006D0EFE">
        <w:rPr>
          <w:rStyle w:val="ECCHLbold"/>
        </w:rPr>
        <w:t>5.169</w:t>
      </w:r>
      <w:r w:rsidRPr="006D0EFE">
        <w:t>.</w:t>
      </w:r>
    </w:p>
    <w:p w14:paraId="69ED55A3" w14:textId="77777777" w:rsidR="00971861" w:rsidRPr="00BA1E7B" w:rsidRDefault="00971861" w:rsidP="00BA1E7B"/>
    <w:p w14:paraId="74258B0D" w14:textId="77777777" w:rsidR="00DC3FCB" w:rsidRPr="00DC3FCB" w:rsidRDefault="00DC3FCB" w:rsidP="00DC3FCB">
      <w:pPr>
        <w:pStyle w:val="ECCTabletext"/>
        <w:rPr>
          <w:rStyle w:val="ECCHLbold"/>
        </w:rPr>
      </w:pPr>
      <w:r w:rsidRPr="00DC3FCB">
        <w:rPr>
          <w:rStyle w:val="ECCHLbold"/>
        </w:rPr>
        <w:t>…/…</w:t>
      </w:r>
    </w:p>
    <w:p w14:paraId="5F546064" w14:textId="77777777" w:rsidR="00DC3FCB" w:rsidRDefault="00DC3FCB" w:rsidP="00DC3FCB">
      <w:pPr>
        <w:pStyle w:val="ECCTabletext"/>
        <w:rPr>
          <w:rStyle w:val="ECCHLbold"/>
        </w:rPr>
      </w:pPr>
    </w:p>
    <w:sectPr w:rsidR="00DC3FCB" w:rsidSect="00797DEE">
      <w:headerReference w:type="even" r:id="rId11"/>
      <w:headerReference w:type="default" r:id="rId12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FFE70" w14:textId="77777777" w:rsidR="00A11B6B" w:rsidRDefault="00A11B6B" w:rsidP="00DB17F9">
      <w:r>
        <w:separator/>
      </w:r>
    </w:p>
    <w:p w14:paraId="4EF0B187" w14:textId="77777777" w:rsidR="00A11B6B" w:rsidRDefault="00A11B6B"/>
  </w:endnote>
  <w:endnote w:type="continuationSeparator" w:id="0">
    <w:p w14:paraId="1E7C4521" w14:textId="77777777" w:rsidR="00A11B6B" w:rsidRDefault="00A11B6B" w:rsidP="00DB17F9">
      <w:r>
        <w:continuationSeparator/>
      </w:r>
    </w:p>
    <w:p w14:paraId="2074C1B5" w14:textId="77777777" w:rsidR="00A11B6B" w:rsidRDefault="00A11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28309" w14:textId="77777777" w:rsidR="00A11B6B" w:rsidRPr="00F51BD6" w:rsidRDefault="00A11B6B" w:rsidP="00CD07E7">
      <w:pPr>
        <w:spacing w:before="120" w:after="0"/>
      </w:pPr>
      <w:r>
        <w:separator/>
      </w:r>
    </w:p>
  </w:footnote>
  <w:footnote w:type="continuationSeparator" w:id="0">
    <w:p w14:paraId="2EF146B2" w14:textId="77777777" w:rsidR="00A11B6B" w:rsidRDefault="00A11B6B" w:rsidP="00CD07E7">
      <w:pPr>
        <w:spacing w:before="120" w:after="0"/>
      </w:pPr>
      <w:r>
        <w:continuationSeparator/>
      </w:r>
    </w:p>
  </w:footnote>
  <w:footnote w:type="continuationNotice" w:id="1">
    <w:p w14:paraId="08507AA6" w14:textId="77777777" w:rsidR="00A11B6B" w:rsidRPr="00CD07E7" w:rsidRDefault="00A11B6B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63188" w14:textId="77777777"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797DEE">
      <w:rPr>
        <w:noProof/>
      </w:rPr>
      <w:t>2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BDBD0" w14:textId="71EA80EF"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0A43FF">
      <w:rPr>
        <w:noProof/>
      </w:rPr>
      <w:t>2</w:t>
    </w:r>
    <w:r w:rsidRPr="00714F0F">
      <w:fldChar w:fldCharType="end"/>
    </w:r>
  </w:p>
  <w:p w14:paraId="5F8CB0DF" w14:textId="77777777" w:rsidR="00E11D7E" w:rsidRDefault="00E11D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6.5pt;height:58.5pt" o:bullet="t">
        <v:imagedata r:id="rId1" o:title="Editor's Note"/>
      </v:shape>
    </w:pict>
  </w:numPicBullet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2762"/>
    <w:multiLevelType w:val="hybridMultilevel"/>
    <w:tmpl w:val="204A3A46"/>
    <w:lvl w:ilvl="0" w:tplc="E064ED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87A02"/>
    <w:multiLevelType w:val="hybridMultilevel"/>
    <w:tmpl w:val="248209E6"/>
    <w:lvl w:ilvl="0" w:tplc="048CDB9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D2232A"/>
      </w:rPr>
    </w:lvl>
    <w:lvl w:ilvl="1" w:tplc="04090003">
      <w:start w:val="1"/>
      <w:numFmt w:val="bullet"/>
      <w:lvlText w:val="o"/>
      <w:lvlJc w:val="left"/>
      <w:pPr>
        <w:tabs>
          <w:tab w:val="num" w:pos="419"/>
        </w:tabs>
        <w:ind w:left="419" w:hanging="360"/>
      </w:pPr>
      <w:rPr>
        <w:rFonts w:ascii="Courier New" w:hAnsi="Courier New" w:cs="Arial Bold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Arial Bold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6" w15:restartNumberingAfterBreak="0">
    <w:nsid w:val="3D163F7A"/>
    <w:multiLevelType w:val="multilevel"/>
    <w:tmpl w:val="C51432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3463BF"/>
    <w:multiLevelType w:val="hybridMultilevel"/>
    <w:tmpl w:val="2C366852"/>
    <w:lvl w:ilvl="0" w:tplc="380A4442">
      <w:start w:val="3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1" w15:restartNumberingAfterBreak="0">
    <w:nsid w:val="6ABA2E0A"/>
    <w:multiLevelType w:val="hybridMultilevel"/>
    <w:tmpl w:val="204A3A46"/>
    <w:lvl w:ilvl="0" w:tplc="E064ED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60DF8"/>
    <w:multiLevelType w:val="hybridMultilevel"/>
    <w:tmpl w:val="204A3A46"/>
    <w:lvl w:ilvl="0" w:tplc="E064ED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4"/>
  </w:num>
  <w:num w:numId="10">
    <w:abstractNumId w:val="2"/>
  </w:num>
  <w:num w:numId="11">
    <w:abstractNumId w:val="11"/>
  </w:num>
  <w:num w:numId="12">
    <w:abstractNumId w:val="12"/>
  </w:num>
  <w:num w:numId="13">
    <w:abstractNumId w:val="1"/>
  </w:num>
  <w:num w:numId="14">
    <w:abstractNumId w:val="10"/>
  </w:num>
  <w:num w:numId="1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trackRevisions/>
  <w:documentProtection w:formatting="1" w:enforcement="1" w:cryptProviderType="rsaFull" w:cryptAlgorithmClass="hash" w:cryptAlgorithmType="typeAny" w:cryptAlgorithmSid="4" w:cryptSpinCount="100000" w:hash="io9mfObHeORFqVWSPTJspEuA6Ls=" w:salt="DkEATIY2aGgybcXUZeXlow==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0"/>
    <w:rsid w:val="0001112E"/>
    <w:rsid w:val="00012E3B"/>
    <w:rsid w:val="000268F0"/>
    <w:rsid w:val="00027A98"/>
    <w:rsid w:val="00034417"/>
    <w:rsid w:val="00041A18"/>
    <w:rsid w:val="00042A7E"/>
    <w:rsid w:val="0004622B"/>
    <w:rsid w:val="00053A4E"/>
    <w:rsid w:val="0005663F"/>
    <w:rsid w:val="000572C2"/>
    <w:rsid w:val="00067793"/>
    <w:rsid w:val="0007384D"/>
    <w:rsid w:val="0007757C"/>
    <w:rsid w:val="00080D4D"/>
    <w:rsid w:val="00082DD7"/>
    <w:rsid w:val="000912F1"/>
    <w:rsid w:val="000933E2"/>
    <w:rsid w:val="00095620"/>
    <w:rsid w:val="000A3940"/>
    <w:rsid w:val="000A43FF"/>
    <w:rsid w:val="000B1671"/>
    <w:rsid w:val="000B6D45"/>
    <w:rsid w:val="000C028F"/>
    <w:rsid w:val="000C1A18"/>
    <w:rsid w:val="000C3905"/>
    <w:rsid w:val="000D1710"/>
    <w:rsid w:val="000D43BB"/>
    <w:rsid w:val="000E42F5"/>
    <w:rsid w:val="000E7A0D"/>
    <w:rsid w:val="000F0594"/>
    <w:rsid w:val="000F0CA8"/>
    <w:rsid w:val="000F104C"/>
    <w:rsid w:val="000F24F5"/>
    <w:rsid w:val="000F2ED9"/>
    <w:rsid w:val="000F75EA"/>
    <w:rsid w:val="001006CA"/>
    <w:rsid w:val="00100F8B"/>
    <w:rsid w:val="00102172"/>
    <w:rsid w:val="00105B94"/>
    <w:rsid w:val="00106F0C"/>
    <w:rsid w:val="00110652"/>
    <w:rsid w:val="00114B3B"/>
    <w:rsid w:val="0012260A"/>
    <w:rsid w:val="00131D00"/>
    <w:rsid w:val="0013572C"/>
    <w:rsid w:val="001526A2"/>
    <w:rsid w:val="00154F16"/>
    <w:rsid w:val="00155EB8"/>
    <w:rsid w:val="00156314"/>
    <w:rsid w:val="00172B28"/>
    <w:rsid w:val="00183FE0"/>
    <w:rsid w:val="00184198"/>
    <w:rsid w:val="0018553F"/>
    <w:rsid w:val="00193F31"/>
    <w:rsid w:val="00197AF7"/>
    <w:rsid w:val="001A2615"/>
    <w:rsid w:val="001A27C9"/>
    <w:rsid w:val="001A339F"/>
    <w:rsid w:val="001B0583"/>
    <w:rsid w:val="001B7F85"/>
    <w:rsid w:val="001C30A8"/>
    <w:rsid w:val="001C4923"/>
    <w:rsid w:val="001C4B02"/>
    <w:rsid w:val="001E0225"/>
    <w:rsid w:val="001F5CF0"/>
    <w:rsid w:val="0020079A"/>
    <w:rsid w:val="00222D10"/>
    <w:rsid w:val="00222F9E"/>
    <w:rsid w:val="00223566"/>
    <w:rsid w:val="002302A9"/>
    <w:rsid w:val="00263FFB"/>
    <w:rsid w:val="00265F50"/>
    <w:rsid w:val="00266A21"/>
    <w:rsid w:val="00274F84"/>
    <w:rsid w:val="0027787F"/>
    <w:rsid w:val="0028060B"/>
    <w:rsid w:val="0028120C"/>
    <w:rsid w:val="00282597"/>
    <w:rsid w:val="00283417"/>
    <w:rsid w:val="00294570"/>
    <w:rsid w:val="00295827"/>
    <w:rsid w:val="00295F16"/>
    <w:rsid w:val="00296C44"/>
    <w:rsid w:val="002A033F"/>
    <w:rsid w:val="002A08EE"/>
    <w:rsid w:val="002A3513"/>
    <w:rsid w:val="002A3964"/>
    <w:rsid w:val="002C1583"/>
    <w:rsid w:val="002C3B9C"/>
    <w:rsid w:val="002C6DC3"/>
    <w:rsid w:val="002D1FA9"/>
    <w:rsid w:val="002D2459"/>
    <w:rsid w:val="002D50A3"/>
    <w:rsid w:val="002D7E47"/>
    <w:rsid w:val="002E58A0"/>
    <w:rsid w:val="002E74BC"/>
    <w:rsid w:val="003007C0"/>
    <w:rsid w:val="00307A79"/>
    <w:rsid w:val="003204D5"/>
    <w:rsid w:val="00320ED0"/>
    <w:rsid w:val="00322E6A"/>
    <w:rsid w:val="003314A0"/>
    <w:rsid w:val="003324E4"/>
    <w:rsid w:val="003529C9"/>
    <w:rsid w:val="00357B4F"/>
    <w:rsid w:val="003630B9"/>
    <w:rsid w:val="003653D3"/>
    <w:rsid w:val="00372AA1"/>
    <w:rsid w:val="00381169"/>
    <w:rsid w:val="0038287C"/>
    <w:rsid w:val="0038358E"/>
    <w:rsid w:val="003874F7"/>
    <w:rsid w:val="00387DDE"/>
    <w:rsid w:val="00390C79"/>
    <w:rsid w:val="003913E3"/>
    <w:rsid w:val="00391A01"/>
    <w:rsid w:val="003977BA"/>
    <w:rsid w:val="003A00D2"/>
    <w:rsid w:val="003A0EB5"/>
    <w:rsid w:val="003A2BC3"/>
    <w:rsid w:val="003A5711"/>
    <w:rsid w:val="003A6C5C"/>
    <w:rsid w:val="003B0209"/>
    <w:rsid w:val="003B5226"/>
    <w:rsid w:val="003B7DC1"/>
    <w:rsid w:val="003C1C6C"/>
    <w:rsid w:val="003C2109"/>
    <w:rsid w:val="003C64D9"/>
    <w:rsid w:val="003D067A"/>
    <w:rsid w:val="003D7DC3"/>
    <w:rsid w:val="003E0E1A"/>
    <w:rsid w:val="003E2E42"/>
    <w:rsid w:val="003E70E0"/>
    <w:rsid w:val="00403CE6"/>
    <w:rsid w:val="0040502D"/>
    <w:rsid w:val="004110CA"/>
    <w:rsid w:val="0041160E"/>
    <w:rsid w:val="00422857"/>
    <w:rsid w:val="0042761F"/>
    <w:rsid w:val="00431162"/>
    <w:rsid w:val="00431A26"/>
    <w:rsid w:val="0043362F"/>
    <w:rsid w:val="004375FE"/>
    <w:rsid w:val="004402D1"/>
    <w:rsid w:val="00441EE0"/>
    <w:rsid w:val="00443482"/>
    <w:rsid w:val="00450308"/>
    <w:rsid w:val="00457AD1"/>
    <w:rsid w:val="0046427F"/>
    <w:rsid w:val="00466ADF"/>
    <w:rsid w:val="00473B74"/>
    <w:rsid w:val="0048057E"/>
    <w:rsid w:val="00481DC7"/>
    <w:rsid w:val="00485665"/>
    <w:rsid w:val="004879C2"/>
    <w:rsid w:val="00487AAE"/>
    <w:rsid w:val="00491977"/>
    <w:rsid w:val="00492EA9"/>
    <w:rsid w:val="004A1329"/>
    <w:rsid w:val="004C331E"/>
    <w:rsid w:val="004C4A2E"/>
    <w:rsid w:val="004E057E"/>
    <w:rsid w:val="004E44C8"/>
    <w:rsid w:val="004E53BE"/>
    <w:rsid w:val="004E7F82"/>
    <w:rsid w:val="004F3EA9"/>
    <w:rsid w:val="00501992"/>
    <w:rsid w:val="005026AC"/>
    <w:rsid w:val="005040D3"/>
    <w:rsid w:val="005144B8"/>
    <w:rsid w:val="0052063A"/>
    <w:rsid w:val="0053062A"/>
    <w:rsid w:val="00530C91"/>
    <w:rsid w:val="00530F93"/>
    <w:rsid w:val="00535050"/>
    <w:rsid w:val="00536F3C"/>
    <w:rsid w:val="0054260E"/>
    <w:rsid w:val="0054452F"/>
    <w:rsid w:val="005471A2"/>
    <w:rsid w:val="00550D79"/>
    <w:rsid w:val="005559AC"/>
    <w:rsid w:val="00555FB3"/>
    <w:rsid w:val="005572C7"/>
    <w:rsid w:val="00557B5A"/>
    <w:rsid w:val="005611D0"/>
    <w:rsid w:val="005659F9"/>
    <w:rsid w:val="00566BD4"/>
    <w:rsid w:val="00576411"/>
    <w:rsid w:val="005779BF"/>
    <w:rsid w:val="00577CAF"/>
    <w:rsid w:val="00577E28"/>
    <w:rsid w:val="00580223"/>
    <w:rsid w:val="00580D62"/>
    <w:rsid w:val="00594186"/>
    <w:rsid w:val="005A05D1"/>
    <w:rsid w:val="005A44DB"/>
    <w:rsid w:val="005A53B8"/>
    <w:rsid w:val="005B202B"/>
    <w:rsid w:val="005C10EB"/>
    <w:rsid w:val="005C2037"/>
    <w:rsid w:val="005C2301"/>
    <w:rsid w:val="005C5A96"/>
    <w:rsid w:val="005D3550"/>
    <w:rsid w:val="005D371D"/>
    <w:rsid w:val="005E7495"/>
    <w:rsid w:val="005F1415"/>
    <w:rsid w:val="005F546E"/>
    <w:rsid w:val="005F57DF"/>
    <w:rsid w:val="00604DD7"/>
    <w:rsid w:val="00621C12"/>
    <w:rsid w:val="00623E18"/>
    <w:rsid w:val="00625C5D"/>
    <w:rsid w:val="006327C3"/>
    <w:rsid w:val="0063529E"/>
    <w:rsid w:val="00635A22"/>
    <w:rsid w:val="0064144E"/>
    <w:rsid w:val="00642083"/>
    <w:rsid w:val="006426E9"/>
    <w:rsid w:val="00642F72"/>
    <w:rsid w:val="00645DF6"/>
    <w:rsid w:val="0064722C"/>
    <w:rsid w:val="0065171D"/>
    <w:rsid w:val="0065550D"/>
    <w:rsid w:val="00664295"/>
    <w:rsid w:val="00665364"/>
    <w:rsid w:val="00667B35"/>
    <w:rsid w:val="0067005D"/>
    <w:rsid w:val="00673A9B"/>
    <w:rsid w:val="00675370"/>
    <w:rsid w:val="006841A6"/>
    <w:rsid w:val="006876A8"/>
    <w:rsid w:val="00687D09"/>
    <w:rsid w:val="006903E2"/>
    <w:rsid w:val="006A49E3"/>
    <w:rsid w:val="006A6F14"/>
    <w:rsid w:val="006B1EFD"/>
    <w:rsid w:val="006B216A"/>
    <w:rsid w:val="006C14E4"/>
    <w:rsid w:val="006C6DA8"/>
    <w:rsid w:val="006C7F61"/>
    <w:rsid w:val="006D0EFE"/>
    <w:rsid w:val="006D407F"/>
    <w:rsid w:val="006E5942"/>
    <w:rsid w:val="006F0442"/>
    <w:rsid w:val="006F3538"/>
    <w:rsid w:val="00701FED"/>
    <w:rsid w:val="00713B04"/>
    <w:rsid w:val="00714F0F"/>
    <w:rsid w:val="007160BE"/>
    <w:rsid w:val="00717B76"/>
    <w:rsid w:val="0072119F"/>
    <w:rsid w:val="0072251C"/>
    <w:rsid w:val="00722F65"/>
    <w:rsid w:val="00723ED0"/>
    <w:rsid w:val="007257CD"/>
    <w:rsid w:val="00725871"/>
    <w:rsid w:val="00734A4F"/>
    <w:rsid w:val="00734BCA"/>
    <w:rsid w:val="0074134E"/>
    <w:rsid w:val="00741394"/>
    <w:rsid w:val="007414C6"/>
    <w:rsid w:val="00753022"/>
    <w:rsid w:val="00762BCC"/>
    <w:rsid w:val="00763BA3"/>
    <w:rsid w:val="00765B5A"/>
    <w:rsid w:val="00765B66"/>
    <w:rsid w:val="00766E1F"/>
    <w:rsid w:val="00767BB2"/>
    <w:rsid w:val="0077159C"/>
    <w:rsid w:val="00776102"/>
    <w:rsid w:val="00776D23"/>
    <w:rsid w:val="00780376"/>
    <w:rsid w:val="00780EE3"/>
    <w:rsid w:val="00791AAC"/>
    <w:rsid w:val="00797D4C"/>
    <w:rsid w:val="00797DEE"/>
    <w:rsid w:val="007A74FA"/>
    <w:rsid w:val="007B354D"/>
    <w:rsid w:val="007B6A76"/>
    <w:rsid w:val="007C05AF"/>
    <w:rsid w:val="007C0E7E"/>
    <w:rsid w:val="007C4098"/>
    <w:rsid w:val="007D17C5"/>
    <w:rsid w:val="007D2C90"/>
    <w:rsid w:val="007D3B3D"/>
    <w:rsid w:val="007D3CE2"/>
    <w:rsid w:val="007D52EC"/>
    <w:rsid w:val="007E1A57"/>
    <w:rsid w:val="007F1A8C"/>
    <w:rsid w:val="007F1CEE"/>
    <w:rsid w:val="00807504"/>
    <w:rsid w:val="00823087"/>
    <w:rsid w:val="00833F3B"/>
    <w:rsid w:val="00837537"/>
    <w:rsid w:val="00842766"/>
    <w:rsid w:val="00854EBF"/>
    <w:rsid w:val="0086094D"/>
    <w:rsid w:val="00860E3C"/>
    <w:rsid w:val="00871AD5"/>
    <w:rsid w:val="00872382"/>
    <w:rsid w:val="00872CC2"/>
    <w:rsid w:val="00883FD8"/>
    <w:rsid w:val="00884784"/>
    <w:rsid w:val="00886906"/>
    <w:rsid w:val="008912FE"/>
    <w:rsid w:val="008A0053"/>
    <w:rsid w:val="008A245D"/>
    <w:rsid w:val="008A4276"/>
    <w:rsid w:val="008A54FC"/>
    <w:rsid w:val="008B07E9"/>
    <w:rsid w:val="008B70CD"/>
    <w:rsid w:val="008C2C80"/>
    <w:rsid w:val="008C3123"/>
    <w:rsid w:val="008C3351"/>
    <w:rsid w:val="008D141C"/>
    <w:rsid w:val="008D2C13"/>
    <w:rsid w:val="008D4023"/>
    <w:rsid w:val="008E06BB"/>
    <w:rsid w:val="008E6109"/>
    <w:rsid w:val="008F47AB"/>
    <w:rsid w:val="008F5300"/>
    <w:rsid w:val="0090222D"/>
    <w:rsid w:val="009118E7"/>
    <w:rsid w:val="009170EA"/>
    <w:rsid w:val="00920400"/>
    <w:rsid w:val="0092076F"/>
    <w:rsid w:val="009254B2"/>
    <w:rsid w:val="00926D1F"/>
    <w:rsid w:val="00930439"/>
    <w:rsid w:val="00937AEB"/>
    <w:rsid w:val="0094570E"/>
    <w:rsid w:val="0095368A"/>
    <w:rsid w:val="00957EF4"/>
    <w:rsid w:val="00963795"/>
    <w:rsid w:val="009662E3"/>
    <w:rsid w:val="00966DD9"/>
    <w:rsid w:val="00967F62"/>
    <w:rsid w:val="00971861"/>
    <w:rsid w:val="00973D83"/>
    <w:rsid w:val="00975095"/>
    <w:rsid w:val="00975CFD"/>
    <w:rsid w:val="00986677"/>
    <w:rsid w:val="0099421C"/>
    <w:rsid w:val="009A2F3A"/>
    <w:rsid w:val="009A7A45"/>
    <w:rsid w:val="009B1D12"/>
    <w:rsid w:val="009C2F7B"/>
    <w:rsid w:val="009C3081"/>
    <w:rsid w:val="009C3803"/>
    <w:rsid w:val="009C54C8"/>
    <w:rsid w:val="009C583D"/>
    <w:rsid w:val="009D2C13"/>
    <w:rsid w:val="009D3BA5"/>
    <w:rsid w:val="009D4BA1"/>
    <w:rsid w:val="009D7D5A"/>
    <w:rsid w:val="009E1CEA"/>
    <w:rsid w:val="009E20BE"/>
    <w:rsid w:val="009E47EB"/>
    <w:rsid w:val="009F06A8"/>
    <w:rsid w:val="009F3A37"/>
    <w:rsid w:val="009F6EA2"/>
    <w:rsid w:val="00A02090"/>
    <w:rsid w:val="00A03731"/>
    <w:rsid w:val="00A06071"/>
    <w:rsid w:val="00A061CE"/>
    <w:rsid w:val="00A076B5"/>
    <w:rsid w:val="00A11B6B"/>
    <w:rsid w:val="00A144B6"/>
    <w:rsid w:val="00A17F69"/>
    <w:rsid w:val="00A23870"/>
    <w:rsid w:val="00A25068"/>
    <w:rsid w:val="00A274DB"/>
    <w:rsid w:val="00A37B5B"/>
    <w:rsid w:val="00A41E1E"/>
    <w:rsid w:val="00A5398F"/>
    <w:rsid w:val="00A563FC"/>
    <w:rsid w:val="00A61DED"/>
    <w:rsid w:val="00A62594"/>
    <w:rsid w:val="00A6411D"/>
    <w:rsid w:val="00A64AD4"/>
    <w:rsid w:val="00A73298"/>
    <w:rsid w:val="00A751C0"/>
    <w:rsid w:val="00A81372"/>
    <w:rsid w:val="00A95ACB"/>
    <w:rsid w:val="00A97942"/>
    <w:rsid w:val="00AA079B"/>
    <w:rsid w:val="00AA086A"/>
    <w:rsid w:val="00AB4AB0"/>
    <w:rsid w:val="00AC0EA5"/>
    <w:rsid w:val="00AC2686"/>
    <w:rsid w:val="00AC7914"/>
    <w:rsid w:val="00AD1BE1"/>
    <w:rsid w:val="00AD614A"/>
    <w:rsid w:val="00AD7257"/>
    <w:rsid w:val="00AE3567"/>
    <w:rsid w:val="00AF2D0C"/>
    <w:rsid w:val="00AF4C0E"/>
    <w:rsid w:val="00B00700"/>
    <w:rsid w:val="00B14E5E"/>
    <w:rsid w:val="00B25910"/>
    <w:rsid w:val="00B26973"/>
    <w:rsid w:val="00B30D3B"/>
    <w:rsid w:val="00B323F9"/>
    <w:rsid w:val="00B432D4"/>
    <w:rsid w:val="00B44166"/>
    <w:rsid w:val="00B5315C"/>
    <w:rsid w:val="00B576D7"/>
    <w:rsid w:val="00B73B56"/>
    <w:rsid w:val="00B80892"/>
    <w:rsid w:val="00B82735"/>
    <w:rsid w:val="00B82A94"/>
    <w:rsid w:val="00B92306"/>
    <w:rsid w:val="00B92861"/>
    <w:rsid w:val="00B93ED4"/>
    <w:rsid w:val="00BA1E7B"/>
    <w:rsid w:val="00BA7914"/>
    <w:rsid w:val="00BA7A69"/>
    <w:rsid w:val="00BB15E2"/>
    <w:rsid w:val="00BB204E"/>
    <w:rsid w:val="00BB2727"/>
    <w:rsid w:val="00BB474C"/>
    <w:rsid w:val="00BC0AC3"/>
    <w:rsid w:val="00BD28DF"/>
    <w:rsid w:val="00BD6876"/>
    <w:rsid w:val="00BE2864"/>
    <w:rsid w:val="00BE5A6A"/>
    <w:rsid w:val="00C00565"/>
    <w:rsid w:val="00C00889"/>
    <w:rsid w:val="00C0625B"/>
    <w:rsid w:val="00C076BF"/>
    <w:rsid w:val="00C14E1D"/>
    <w:rsid w:val="00C212B5"/>
    <w:rsid w:val="00C22386"/>
    <w:rsid w:val="00C239A9"/>
    <w:rsid w:val="00C25F81"/>
    <w:rsid w:val="00C27F02"/>
    <w:rsid w:val="00C44908"/>
    <w:rsid w:val="00C45AD8"/>
    <w:rsid w:val="00C4662A"/>
    <w:rsid w:val="00C504F4"/>
    <w:rsid w:val="00C50E0E"/>
    <w:rsid w:val="00C512DE"/>
    <w:rsid w:val="00C57E85"/>
    <w:rsid w:val="00C62522"/>
    <w:rsid w:val="00C65BB4"/>
    <w:rsid w:val="00C70A31"/>
    <w:rsid w:val="00C71254"/>
    <w:rsid w:val="00C8071C"/>
    <w:rsid w:val="00C80C99"/>
    <w:rsid w:val="00C816CB"/>
    <w:rsid w:val="00C81FEF"/>
    <w:rsid w:val="00C82461"/>
    <w:rsid w:val="00C91E3B"/>
    <w:rsid w:val="00CA07CC"/>
    <w:rsid w:val="00CA1331"/>
    <w:rsid w:val="00CA25B5"/>
    <w:rsid w:val="00CA3604"/>
    <w:rsid w:val="00CA4FCE"/>
    <w:rsid w:val="00CA5F8F"/>
    <w:rsid w:val="00CB4281"/>
    <w:rsid w:val="00CC3B30"/>
    <w:rsid w:val="00CC5A6F"/>
    <w:rsid w:val="00CD07E7"/>
    <w:rsid w:val="00CD216D"/>
    <w:rsid w:val="00CE047C"/>
    <w:rsid w:val="00CE26FE"/>
    <w:rsid w:val="00CE271A"/>
    <w:rsid w:val="00CE6FF5"/>
    <w:rsid w:val="00CF2CFC"/>
    <w:rsid w:val="00CF5245"/>
    <w:rsid w:val="00D06683"/>
    <w:rsid w:val="00D07322"/>
    <w:rsid w:val="00D07B1A"/>
    <w:rsid w:val="00D1167E"/>
    <w:rsid w:val="00D234E7"/>
    <w:rsid w:val="00D24463"/>
    <w:rsid w:val="00D30E46"/>
    <w:rsid w:val="00D3663D"/>
    <w:rsid w:val="00D4349F"/>
    <w:rsid w:val="00D45627"/>
    <w:rsid w:val="00D47EF6"/>
    <w:rsid w:val="00D50AC8"/>
    <w:rsid w:val="00D515FC"/>
    <w:rsid w:val="00D53B55"/>
    <w:rsid w:val="00D55BD3"/>
    <w:rsid w:val="00D603F8"/>
    <w:rsid w:val="00D60A44"/>
    <w:rsid w:val="00D7390F"/>
    <w:rsid w:val="00D74F04"/>
    <w:rsid w:val="00D83248"/>
    <w:rsid w:val="00D90913"/>
    <w:rsid w:val="00D92BEC"/>
    <w:rsid w:val="00DA18F2"/>
    <w:rsid w:val="00DA4CBD"/>
    <w:rsid w:val="00DB17F9"/>
    <w:rsid w:val="00DC3847"/>
    <w:rsid w:val="00DC3FCB"/>
    <w:rsid w:val="00DC7B42"/>
    <w:rsid w:val="00DD06EB"/>
    <w:rsid w:val="00DD1F79"/>
    <w:rsid w:val="00DD6973"/>
    <w:rsid w:val="00DE2597"/>
    <w:rsid w:val="00DE2C5C"/>
    <w:rsid w:val="00DE3DFC"/>
    <w:rsid w:val="00DF2C67"/>
    <w:rsid w:val="00DF3AE2"/>
    <w:rsid w:val="00DF7D21"/>
    <w:rsid w:val="00E03771"/>
    <w:rsid w:val="00E043C3"/>
    <w:rsid w:val="00E047A1"/>
    <w:rsid w:val="00E059C5"/>
    <w:rsid w:val="00E05A52"/>
    <w:rsid w:val="00E11D7E"/>
    <w:rsid w:val="00E1412A"/>
    <w:rsid w:val="00E14334"/>
    <w:rsid w:val="00E15D2D"/>
    <w:rsid w:val="00E2303A"/>
    <w:rsid w:val="00E30FA9"/>
    <w:rsid w:val="00E31134"/>
    <w:rsid w:val="00E343BD"/>
    <w:rsid w:val="00E348D9"/>
    <w:rsid w:val="00E36601"/>
    <w:rsid w:val="00E46600"/>
    <w:rsid w:val="00E51AC7"/>
    <w:rsid w:val="00E55FDF"/>
    <w:rsid w:val="00E60351"/>
    <w:rsid w:val="00E63735"/>
    <w:rsid w:val="00E668CE"/>
    <w:rsid w:val="00E71AE7"/>
    <w:rsid w:val="00E728AA"/>
    <w:rsid w:val="00E752E6"/>
    <w:rsid w:val="00E80AC9"/>
    <w:rsid w:val="00E973CD"/>
    <w:rsid w:val="00EA2ED5"/>
    <w:rsid w:val="00EA6088"/>
    <w:rsid w:val="00EC05A4"/>
    <w:rsid w:val="00EC1A2C"/>
    <w:rsid w:val="00EC207F"/>
    <w:rsid w:val="00EC7DB9"/>
    <w:rsid w:val="00ED2C10"/>
    <w:rsid w:val="00EE2711"/>
    <w:rsid w:val="00EF0FD5"/>
    <w:rsid w:val="00EF6503"/>
    <w:rsid w:val="00EF6851"/>
    <w:rsid w:val="00F00339"/>
    <w:rsid w:val="00F028A9"/>
    <w:rsid w:val="00F212EB"/>
    <w:rsid w:val="00F2335F"/>
    <w:rsid w:val="00F23D13"/>
    <w:rsid w:val="00F243E1"/>
    <w:rsid w:val="00F32DEC"/>
    <w:rsid w:val="00F34995"/>
    <w:rsid w:val="00F37A74"/>
    <w:rsid w:val="00F43E24"/>
    <w:rsid w:val="00F45561"/>
    <w:rsid w:val="00F465D3"/>
    <w:rsid w:val="00F46DD1"/>
    <w:rsid w:val="00F51BD6"/>
    <w:rsid w:val="00F5428C"/>
    <w:rsid w:val="00F56F06"/>
    <w:rsid w:val="00F56F62"/>
    <w:rsid w:val="00F571EE"/>
    <w:rsid w:val="00F62D48"/>
    <w:rsid w:val="00F62E44"/>
    <w:rsid w:val="00F65308"/>
    <w:rsid w:val="00F73815"/>
    <w:rsid w:val="00F7770D"/>
    <w:rsid w:val="00F81D88"/>
    <w:rsid w:val="00F905E7"/>
    <w:rsid w:val="00F91FDD"/>
    <w:rsid w:val="00F93115"/>
    <w:rsid w:val="00FA4E32"/>
    <w:rsid w:val="00FA5792"/>
    <w:rsid w:val="00FB04BE"/>
    <w:rsid w:val="00FB200D"/>
    <w:rsid w:val="00FB3571"/>
    <w:rsid w:val="00FB4F1D"/>
    <w:rsid w:val="00FB57C4"/>
    <w:rsid w:val="00FC2839"/>
    <w:rsid w:val="00FC3622"/>
    <w:rsid w:val="00FC4D72"/>
    <w:rsid w:val="00FC6A32"/>
    <w:rsid w:val="00FE7EEC"/>
    <w:rsid w:val="00FF0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,"/>
  <w:listSeparator w:val=";"/>
  <w14:docId w14:val="2D4858D5"/>
  <w15:docId w15:val="{5F90FD44-1E20-42B7-98D0-9D088D6B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0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Heading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BulletsLv1">
    <w:name w:val="ECC Bullets Lv1"/>
    <w:basedOn w:val="Normal"/>
    <w:qFormat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Header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OC1">
    <w:name w:val="toc 1"/>
    <w:aliases w:val="ECC Index 1"/>
    <w:basedOn w:val="Normal"/>
    <w:link w:val="TOC1Ch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FootnoteText">
    <w:name w:val="footnote text"/>
    <w:aliases w:val="ECC Footnote"/>
    <w:basedOn w:val="Normal"/>
    <w:link w:val="FootnoteTextCh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OC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OC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OC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DefaultParagraphFon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FootnoteTextChar">
    <w:name w:val="Footnote Text Char"/>
    <w:aliases w:val="ECC Footnote Char"/>
    <w:basedOn w:val="DefaultParagraphFont"/>
    <w:link w:val="FootnoteText"/>
    <w:rsid w:val="001526A2"/>
    <w:rPr>
      <w:rFonts w:eastAsia="Calibri"/>
      <w:sz w:val="16"/>
      <w:szCs w:val="16"/>
      <w14:cntxtAlts/>
    </w:rPr>
  </w:style>
  <w:style w:type="character" w:styleId="FootnoteReference">
    <w:name w:val="footnote reference"/>
    <w:aliases w:val="ECC Footnote number"/>
    <w:basedOn w:val="DefaultParagraphFont"/>
    <w:rsid w:val="00DB17F9"/>
    <w:rPr>
      <w:rFonts w:ascii="Arial" w:hAnsi="Arial"/>
      <w:sz w:val="20"/>
      <w:vertAlign w:val="superscript"/>
    </w:rPr>
  </w:style>
  <w:style w:type="paragraph" w:styleId="Caption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DefaultParagraphFon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Strong"/>
    <w:uiPriority w:val="1"/>
    <w:qFormat/>
    <w:rsid w:val="0038287C"/>
    <w:rPr>
      <w:b/>
      <w:bCs/>
    </w:rPr>
  </w:style>
  <w:style w:type="character" w:styleId="Emphasis">
    <w:name w:val="Emphasis"/>
    <w:aliases w:val="ECC HL italics"/>
    <w:basedOn w:val="DefaultParagraphFont"/>
    <w:uiPriority w:val="1"/>
    <w:qFormat/>
    <w:rsid w:val="00DB17F9"/>
    <w:rPr>
      <w:i/>
    </w:rPr>
  </w:style>
  <w:style w:type="character" w:customStyle="1" w:styleId="TOC1Char">
    <w:name w:val="TOC 1 Char"/>
    <w:aliases w:val="ECC Index 1 Char"/>
    <w:basedOn w:val="DefaultParagraphFont"/>
    <w:link w:val="TOC1"/>
    <w:uiPriority w:val="39"/>
    <w:semiHidden/>
    <w:rsid w:val="00D3663D"/>
    <w:rPr>
      <w:rFonts w:eastAsia="Calibri"/>
      <w:b/>
      <w:noProof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DefaultParagraphFon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DefaultParagraphFon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DefaultParagraphFon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DefaultParagraphFon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Paragraph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DefaultParagraphFon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DefaultParagraphFon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DefaultParagraphFon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DefaultParagraphFon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Heading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DefaultParagraphFon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ColorfulGrid">
    <w:name w:val="Colorful Grid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rfulGrid-Accent6">
    <w:name w:val="Colorful Grid Accent 6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TableGrid">
    <w:name w:val="Table Grid"/>
    <w:basedOn w:val="Table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DefaultParagraphFont"/>
    <w:link w:val="ECCBreak"/>
    <w:rsid w:val="0042761F"/>
    <w:rPr>
      <w:b/>
      <w:bCs/>
      <w:iCs/>
      <w:caps/>
      <w:szCs w:val="28"/>
    </w:rPr>
  </w:style>
  <w:style w:type="character" w:styleId="SubtleEmphasis">
    <w:name w:val="Subtle Emphasis"/>
    <w:basedOn w:val="DefaultParagraphFont"/>
    <w:uiPriority w:val="19"/>
    <w:qFormat/>
    <w:rsid w:val="00A81372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973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73D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D83"/>
    <w:rPr>
      <w:rFonts w:eastAsia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73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D83"/>
    <w:rPr>
      <w:rFonts w:eastAsia="Calibr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DBF337-ABC1-4F32-ADDA-A734D50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0</TotalTime>
  <Pages>1</Pages>
  <Words>3582</Words>
  <Characters>2042</Characters>
  <Application>Microsoft Office Word</Application>
  <DocSecurity>0</DocSecurity>
  <Lines>17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XXX(YY)XX - Source - Content</vt:lpstr>
      <vt:lpstr>XXX(YY)XX - Source - Content</vt:lpstr>
      <vt:lpstr>XXX(YY)XX - Source - Content</vt:lpstr>
    </vt:vector>
  </TitlesOfParts>
  <Manager>stella.lyubchenko@eco.cept.org</Manager>
  <Company>ECO</Company>
  <LinksUpToDate>false</LinksUpToDate>
  <CharactersWithSpaces>5613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CPG</dc:creator>
  <dc:description>This template is used as guidance to draft generic contributions to CEPT</dc:description>
  <cp:lastModifiedBy>Ciaccia Huguenin-Benjamin Natascha BAKOM</cp:lastModifiedBy>
  <cp:revision>3</cp:revision>
  <cp:lastPrinted>1901-01-01T00:00:00Z</cp:lastPrinted>
  <dcterms:created xsi:type="dcterms:W3CDTF">2018-09-18T16:10:00Z</dcterms:created>
  <dcterms:modified xsi:type="dcterms:W3CDTF">2018-09-18T17:10:00Z</dcterms:modified>
  <cp:category>protected templates</cp:category>
  <cp:contentStatus>Revision 19.10.2014</cp:contentStatus>
</cp:coreProperties>
</file>