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ayout w:type="fixed"/>
        <w:tblCellMar>
          <w:left w:w="70" w:type="dxa"/>
          <w:right w:w="70" w:type="dxa"/>
        </w:tblCellMar>
        <w:tblLook w:val="0000" w:firstRow="0" w:lastRow="0" w:firstColumn="0" w:lastColumn="0" w:noHBand="0" w:noVBand="0"/>
      </w:tblPr>
      <w:tblGrid>
        <w:gridCol w:w="5670"/>
        <w:gridCol w:w="4253"/>
      </w:tblGrid>
      <w:tr w:rsidR="00665B12" w:rsidTr="00047313">
        <w:trPr>
          <w:jc w:val="center"/>
        </w:trPr>
        <w:tc>
          <w:tcPr>
            <w:tcW w:w="5670" w:type="dxa"/>
          </w:tcPr>
          <w:p w:rsidR="00665B12" w:rsidRPr="007C3500" w:rsidRDefault="00F64475" w:rsidP="007A33AD">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tc>
        <w:tc>
          <w:tcPr>
            <w:tcW w:w="4253" w:type="dxa"/>
          </w:tcPr>
          <w:p w:rsidR="00665B12" w:rsidRDefault="00665B12" w:rsidP="007A33AD">
            <w:pPr>
              <w:ind w:right="282"/>
              <w:jc w:val="right"/>
            </w:pPr>
          </w:p>
        </w:tc>
      </w:tr>
      <w:tr w:rsidR="00665B12" w:rsidTr="00047313">
        <w:tblPrEx>
          <w:tblCellMar>
            <w:left w:w="108" w:type="dxa"/>
            <w:right w:w="108" w:type="dxa"/>
          </w:tblCellMar>
        </w:tblPrEx>
        <w:trPr>
          <w:jc w:val="center"/>
        </w:trPr>
        <w:tc>
          <w:tcPr>
            <w:tcW w:w="5670" w:type="dxa"/>
          </w:tcPr>
          <w:p w:rsidR="00665B12" w:rsidRPr="007C3500" w:rsidRDefault="00665B12" w:rsidP="007A33AD">
            <w:r w:rsidRPr="007C3500">
              <w:t xml:space="preserve"> </w:t>
            </w:r>
          </w:p>
          <w:p w:rsidR="00665B12" w:rsidRPr="00046A82" w:rsidRDefault="00665B12" w:rsidP="0004757A">
            <w:pPr>
              <w:pStyle w:val="berschrift4"/>
              <w:numPr>
                <w:ilvl w:val="0"/>
                <w:numId w:val="0"/>
              </w:numPr>
              <w:ind w:right="-321"/>
              <w:rPr>
                <w:b/>
                <w:i w:val="0"/>
                <w:u w:val="none"/>
              </w:rPr>
            </w:pPr>
            <w:r w:rsidRPr="00046A82">
              <w:rPr>
                <w:b/>
                <w:i w:val="0"/>
                <w:color w:val="808080"/>
                <w:u w:val="none"/>
              </w:rPr>
              <w:t>Project Team FM22</w:t>
            </w:r>
          </w:p>
        </w:tc>
        <w:tc>
          <w:tcPr>
            <w:tcW w:w="4253" w:type="dxa"/>
          </w:tcPr>
          <w:p w:rsidR="00665B12" w:rsidRPr="007C3500" w:rsidRDefault="00665B12" w:rsidP="007A33AD"/>
          <w:p w:rsidR="00665B12" w:rsidRDefault="00665B12" w:rsidP="0004757A">
            <w:pPr>
              <w:pStyle w:val="berschrift4"/>
              <w:numPr>
                <w:ilvl w:val="0"/>
                <w:numId w:val="0"/>
              </w:numPr>
              <w:ind w:right="-321"/>
            </w:pPr>
          </w:p>
        </w:tc>
      </w:tr>
      <w:tr w:rsidR="00665B12" w:rsidTr="00047313">
        <w:tblPrEx>
          <w:tblCellMar>
            <w:left w:w="108" w:type="dxa"/>
            <w:right w:w="108" w:type="dxa"/>
          </w:tblCellMar>
        </w:tblPrEx>
        <w:trPr>
          <w:trHeight w:val="209"/>
          <w:jc w:val="center"/>
        </w:trPr>
        <w:tc>
          <w:tcPr>
            <w:tcW w:w="5670" w:type="dxa"/>
          </w:tcPr>
          <w:p w:rsidR="00665B12" w:rsidRDefault="00665B12" w:rsidP="0004757A">
            <w:pPr>
              <w:pStyle w:val="berschrift4"/>
              <w:numPr>
                <w:ilvl w:val="0"/>
                <w:numId w:val="0"/>
              </w:numPr>
              <w:ind w:right="-321"/>
            </w:pPr>
          </w:p>
        </w:tc>
        <w:tc>
          <w:tcPr>
            <w:tcW w:w="4253" w:type="dxa"/>
          </w:tcPr>
          <w:p w:rsidR="00665B12" w:rsidRDefault="00665B12" w:rsidP="0004757A">
            <w:pPr>
              <w:pStyle w:val="berschrift4"/>
              <w:numPr>
                <w:ilvl w:val="0"/>
                <w:numId w:val="0"/>
              </w:numPr>
              <w:ind w:right="-321"/>
            </w:pPr>
          </w:p>
        </w:tc>
      </w:tr>
      <w:tr w:rsidR="00665B12" w:rsidTr="00047313">
        <w:tblPrEx>
          <w:tblCellMar>
            <w:left w:w="108" w:type="dxa"/>
            <w:right w:w="108" w:type="dxa"/>
          </w:tblCellMar>
        </w:tblPrEx>
        <w:trPr>
          <w:jc w:val="center"/>
        </w:trPr>
        <w:tc>
          <w:tcPr>
            <w:tcW w:w="5670" w:type="dxa"/>
            <w:vAlign w:val="center"/>
          </w:tcPr>
          <w:p w:rsidR="00665B12" w:rsidRDefault="005D1B4A" w:rsidP="00047313">
            <w:pPr>
              <w:rPr>
                <w:rFonts w:cs="Arial"/>
                <w:b/>
                <w:sz w:val="24"/>
                <w:szCs w:val="24"/>
              </w:rPr>
            </w:pPr>
            <w:r>
              <w:rPr>
                <w:rFonts w:cs="Arial"/>
                <w:b/>
                <w:sz w:val="24"/>
                <w:szCs w:val="24"/>
              </w:rPr>
              <w:t>4</w:t>
            </w:r>
            <w:r w:rsidR="00F64475">
              <w:rPr>
                <w:rFonts w:cs="Arial"/>
                <w:b/>
                <w:sz w:val="24"/>
                <w:szCs w:val="24"/>
              </w:rPr>
              <w:t>5</w:t>
            </w:r>
            <w:r w:rsidR="008766AC">
              <w:rPr>
                <w:rFonts w:cs="Arial"/>
                <w:b/>
                <w:sz w:val="24"/>
                <w:szCs w:val="24"/>
                <w:vertAlign w:val="superscript"/>
              </w:rPr>
              <w:t>th</w:t>
            </w:r>
            <w:r w:rsidR="00665B12">
              <w:rPr>
                <w:rFonts w:cs="Arial"/>
                <w:b/>
                <w:sz w:val="24"/>
                <w:szCs w:val="24"/>
              </w:rPr>
              <w:t xml:space="preserve"> Meeting of FM22 </w:t>
            </w:r>
          </w:p>
          <w:p w:rsidR="00665B12" w:rsidRDefault="00F64475" w:rsidP="00F64475">
            <w:r>
              <w:rPr>
                <w:rFonts w:cs="Arial"/>
                <w:b/>
                <w:sz w:val="24"/>
                <w:szCs w:val="24"/>
              </w:rPr>
              <w:t>Budapest</w:t>
            </w:r>
            <w:r w:rsidR="00665B12">
              <w:rPr>
                <w:rFonts w:cs="Arial"/>
                <w:b/>
                <w:sz w:val="24"/>
                <w:szCs w:val="24"/>
              </w:rPr>
              <w:t xml:space="preserve">, </w:t>
            </w:r>
            <w:r>
              <w:rPr>
                <w:rFonts w:cs="Arial"/>
                <w:b/>
                <w:sz w:val="24"/>
                <w:szCs w:val="24"/>
              </w:rPr>
              <w:t>12</w:t>
            </w:r>
            <w:r w:rsidR="00D61A61">
              <w:rPr>
                <w:rFonts w:cs="Arial"/>
                <w:b/>
                <w:sz w:val="24"/>
                <w:szCs w:val="24"/>
              </w:rPr>
              <w:t xml:space="preserve"> – </w:t>
            </w:r>
            <w:r>
              <w:rPr>
                <w:rFonts w:cs="Arial"/>
                <w:b/>
                <w:sz w:val="24"/>
                <w:szCs w:val="24"/>
              </w:rPr>
              <w:t>15</w:t>
            </w:r>
            <w:r w:rsidR="00D57FDC">
              <w:rPr>
                <w:rFonts w:cs="Arial"/>
                <w:b/>
                <w:sz w:val="24"/>
                <w:szCs w:val="24"/>
              </w:rPr>
              <w:t xml:space="preserve"> </w:t>
            </w:r>
            <w:r>
              <w:rPr>
                <w:rFonts w:cs="Arial"/>
                <w:b/>
                <w:sz w:val="24"/>
                <w:szCs w:val="24"/>
              </w:rPr>
              <w:t>April</w:t>
            </w:r>
            <w:r w:rsidR="00D57FDC">
              <w:rPr>
                <w:rFonts w:cs="Arial"/>
                <w:b/>
                <w:sz w:val="24"/>
                <w:szCs w:val="24"/>
              </w:rPr>
              <w:t xml:space="preserve"> 201</w:t>
            </w:r>
            <w:r>
              <w:rPr>
                <w:rFonts w:cs="Arial"/>
                <w:b/>
                <w:sz w:val="24"/>
                <w:szCs w:val="24"/>
              </w:rPr>
              <w:t>6</w:t>
            </w:r>
          </w:p>
        </w:tc>
        <w:tc>
          <w:tcPr>
            <w:tcW w:w="4253" w:type="dxa"/>
          </w:tcPr>
          <w:p w:rsidR="00665B12" w:rsidRPr="00046A82" w:rsidRDefault="00665B12" w:rsidP="0004757A">
            <w:pPr>
              <w:pStyle w:val="berschrift4"/>
              <w:numPr>
                <w:ilvl w:val="0"/>
                <w:numId w:val="0"/>
              </w:numPr>
              <w:ind w:right="-321"/>
              <w:rPr>
                <w:b/>
                <w:bCs/>
                <w:i w:val="0"/>
                <w:u w:val="none"/>
              </w:rPr>
            </w:pPr>
          </w:p>
          <w:p w:rsidR="00665B12" w:rsidRPr="00046A82" w:rsidRDefault="00665B12" w:rsidP="00BA3CFF">
            <w:pPr>
              <w:pStyle w:val="berschrift4"/>
              <w:numPr>
                <w:ilvl w:val="0"/>
                <w:numId w:val="0"/>
              </w:numPr>
              <w:ind w:right="-321"/>
              <w:rPr>
                <w:b/>
                <w:bCs/>
                <w:i w:val="0"/>
                <w:u w:val="none"/>
              </w:rPr>
            </w:pPr>
            <w:proofErr w:type="gramStart"/>
            <w:r w:rsidRPr="00046A82">
              <w:rPr>
                <w:b/>
                <w:bCs/>
                <w:i w:val="0"/>
                <w:u w:val="none"/>
              </w:rPr>
              <w:t>FM22(</w:t>
            </w:r>
            <w:proofErr w:type="gramEnd"/>
            <w:r w:rsidR="00947414">
              <w:rPr>
                <w:b/>
                <w:bCs/>
                <w:i w:val="0"/>
                <w:u w:val="none"/>
              </w:rPr>
              <w:t>1</w:t>
            </w:r>
            <w:r w:rsidR="00F64475">
              <w:rPr>
                <w:b/>
                <w:bCs/>
                <w:i w:val="0"/>
                <w:u w:val="none"/>
              </w:rPr>
              <w:t>6</w:t>
            </w:r>
            <w:r w:rsidRPr="00046A82">
              <w:rPr>
                <w:b/>
                <w:bCs/>
                <w:i w:val="0"/>
                <w:u w:val="none"/>
              </w:rPr>
              <w:t>)</w:t>
            </w:r>
            <w:r w:rsidR="00BA3CFF">
              <w:rPr>
                <w:b/>
                <w:bCs/>
                <w:i w:val="0"/>
                <w:u w:val="none"/>
              </w:rPr>
              <w:t>11</w:t>
            </w:r>
          </w:p>
        </w:tc>
      </w:tr>
      <w:tr w:rsidR="00665B12" w:rsidTr="00047313">
        <w:tblPrEx>
          <w:tblCellMar>
            <w:left w:w="108" w:type="dxa"/>
            <w:right w:w="108" w:type="dxa"/>
          </w:tblCellMar>
        </w:tblPrEx>
        <w:trPr>
          <w:jc w:val="center"/>
        </w:trPr>
        <w:tc>
          <w:tcPr>
            <w:tcW w:w="9923" w:type="dxa"/>
            <w:gridSpan w:val="2"/>
            <w:vAlign w:val="center"/>
          </w:tcPr>
          <w:p w:rsidR="00665B12" w:rsidRDefault="00665B12" w:rsidP="0004757A">
            <w:pPr>
              <w:pStyle w:val="berschrift4"/>
              <w:numPr>
                <w:ilvl w:val="0"/>
                <w:numId w:val="0"/>
              </w:numPr>
            </w:pPr>
          </w:p>
          <w:p w:rsidR="00665B12" w:rsidRPr="00046A82" w:rsidRDefault="00665B12" w:rsidP="0004757A">
            <w:pPr>
              <w:pStyle w:val="berschrift4"/>
              <w:numPr>
                <w:ilvl w:val="0"/>
                <w:numId w:val="0"/>
              </w:numPr>
              <w:tabs>
                <w:tab w:val="left" w:pos="1735"/>
              </w:tabs>
              <w:rPr>
                <w:b/>
                <w:i w:val="0"/>
                <w:szCs w:val="24"/>
                <w:u w:val="none"/>
              </w:rPr>
            </w:pPr>
            <w:r w:rsidRPr="00046A82">
              <w:rPr>
                <w:b/>
                <w:i w:val="0"/>
                <w:szCs w:val="24"/>
                <w:u w:val="none"/>
              </w:rPr>
              <w:t xml:space="preserve">Date issued: </w:t>
            </w:r>
            <w:r w:rsidR="002C71A0">
              <w:rPr>
                <w:b/>
                <w:i w:val="0"/>
                <w:szCs w:val="24"/>
                <w:u w:val="none"/>
              </w:rPr>
              <w:t>5</w:t>
            </w:r>
            <w:r w:rsidR="006E7053">
              <w:rPr>
                <w:b/>
                <w:i w:val="0"/>
                <w:szCs w:val="24"/>
                <w:u w:val="none"/>
              </w:rPr>
              <w:t xml:space="preserve"> April 2016</w:t>
            </w:r>
          </w:p>
          <w:p w:rsidR="00665B12" w:rsidRDefault="00665B12" w:rsidP="0004757A">
            <w:pPr>
              <w:pStyle w:val="berschrift4"/>
              <w:numPr>
                <w:ilvl w:val="0"/>
                <w:numId w:val="0"/>
              </w:numPr>
              <w:rPr>
                <w:b/>
              </w:rPr>
            </w:pPr>
          </w:p>
          <w:p w:rsidR="00665B12" w:rsidRPr="00046A82" w:rsidRDefault="00665B12" w:rsidP="0004757A">
            <w:pPr>
              <w:pStyle w:val="berschrift4"/>
              <w:numPr>
                <w:ilvl w:val="0"/>
                <w:numId w:val="0"/>
              </w:numPr>
              <w:tabs>
                <w:tab w:val="left" w:pos="1735"/>
              </w:tabs>
              <w:rPr>
                <w:b/>
                <w:i w:val="0"/>
                <w:u w:val="none"/>
              </w:rPr>
            </w:pPr>
            <w:r w:rsidRPr="00046A82">
              <w:rPr>
                <w:b/>
                <w:i w:val="0"/>
                <w:u w:val="none"/>
              </w:rPr>
              <w:t xml:space="preserve">Source: </w:t>
            </w:r>
            <w:r w:rsidR="00FD5F05">
              <w:rPr>
                <w:b/>
                <w:i w:val="0"/>
                <w:u w:val="none"/>
              </w:rPr>
              <w:t>Lithuania</w:t>
            </w:r>
          </w:p>
          <w:p w:rsidR="00665B12" w:rsidRDefault="00665B12" w:rsidP="0004757A">
            <w:pPr>
              <w:pStyle w:val="berschrift4"/>
              <w:numPr>
                <w:ilvl w:val="0"/>
                <w:numId w:val="0"/>
              </w:numPr>
              <w:rPr>
                <w:b/>
              </w:rPr>
            </w:pPr>
          </w:p>
          <w:p w:rsidR="00665B12" w:rsidRPr="00046A82" w:rsidRDefault="00665B12" w:rsidP="0004757A">
            <w:pPr>
              <w:pStyle w:val="berschrift4"/>
              <w:numPr>
                <w:ilvl w:val="0"/>
                <w:numId w:val="0"/>
              </w:numPr>
              <w:tabs>
                <w:tab w:val="left" w:pos="1779"/>
              </w:tabs>
              <w:rPr>
                <w:b/>
                <w:i w:val="0"/>
                <w:u w:val="none"/>
              </w:rPr>
            </w:pPr>
            <w:r w:rsidRPr="00046A82">
              <w:rPr>
                <w:b/>
                <w:i w:val="0"/>
                <w:u w:val="none"/>
              </w:rPr>
              <w:t>Subject:</w:t>
            </w:r>
            <w:r w:rsidR="00FD5F05">
              <w:rPr>
                <w:b/>
                <w:i w:val="0"/>
                <w:u w:val="none"/>
              </w:rPr>
              <w:t xml:space="preserve"> </w:t>
            </w:r>
            <w:r w:rsidR="00503EF3">
              <w:rPr>
                <w:b/>
                <w:i w:val="0"/>
                <w:u w:val="none"/>
              </w:rPr>
              <w:t xml:space="preserve">Report </w:t>
            </w:r>
            <w:r w:rsidR="00FD5F05">
              <w:rPr>
                <w:b/>
                <w:i w:val="0"/>
                <w:u w:val="none"/>
              </w:rPr>
              <w:t>on mobile spectrum monitoring station equipment</w:t>
            </w:r>
          </w:p>
          <w:p w:rsidR="00665B12" w:rsidRDefault="00665B12" w:rsidP="0004757A">
            <w:pPr>
              <w:pStyle w:val="berschrift4"/>
              <w:numPr>
                <w:ilvl w:val="0"/>
                <w:numId w:val="0"/>
              </w:numPr>
              <w:rPr>
                <w:b/>
              </w:rPr>
            </w:pPr>
          </w:p>
        </w:tc>
      </w:tr>
    </w:tbl>
    <w:p w:rsidR="00665B12" w:rsidRDefault="00F64475" w:rsidP="00665B12">
      <w:r>
        <w:rPr>
          <w:noProof/>
          <w:lang w:val="de-DE"/>
        </w:rPr>
        <mc:AlternateContent>
          <mc:Choice Requires="wps">
            <w:drawing>
              <wp:anchor distT="0" distB="0" distL="114300" distR="114300" simplePos="0" relativeHeight="251657728" behindDoc="0" locked="0" layoutInCell="1" allowOverlap="1">
                <wp:simplePos x="0" y="0"/>
                <wp:positionH relativeFrom="column">
                  <wp:posOffset>2127250</wp:posOffset>
                </wp:positionH>
                <wp:positionV relativeFrom="paragraph">
                  <wp:posOffset>120650</wp:posOffset>
                </wp:positionV>
                <wp:extent cx="457200" cy="228600"/>
                <wp:effectExtent l="12700" t="635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65B12" w:rsidRPr="00FD5F05" w:rsidRDefault="00FD5F05" w:rsidP="00665B12">
                            <w:pPr>
                              <w:jc w:val="center"/>
                              <w:rPr>
                                <w:lang w:val="lt-LT"/>
                              </w:rPr>
                            </w:pPr>
                            <w:r>
                              <w:rPr>
                                <w:lang w:val="lt-LT"/>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5pt;margin-top:9.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DFJQIAAE8EAAAOAAAAZHJzL2Uyb0RvYy54bWysVNtu2zAMfR+wfxD0vjgxki414hRdugwD&#10;ugvQ7gMYWbaFyaImKbGzrx8lp2l2exnmB4EUqUPykPTqZug0O0jnFZqSzyZTzqQRWCnTlPzL4/bV&#10;kjMfwFSg0ciSH6XnN+uXL1a9LWSOLepKOkYgxhe9LXkbgi2yzItWduAnaKUhY42ug0Cqa7LKQU/o&#10;nc7y6fQq69FV1qGQ3tPt3Wjk64Rf11KET3XtZWC65JRbSKdL5y6e2XoFRePAtkqc0oB/yKIDZSjo&#10;GeoOArC9U79BdUo49FiHicAuw7pWQqYaqJrZ9JdqHlqwMtVC5Hh7psn/P1jx8fDZMVWVPOfMQEct&#10;epRDYG9wYHlkp7e+IKcHS25hoGvqcqrU23sUXz0zuGnBNPLWOexbCRVlN4svs4unI46PILv+A1YU&#10;BvYBE9BQuy5SR2QwQqcuHc+diakIupwvXlO3ORNkyvPlFckxAhRPj63z4Z3EjkWh5I4an8DhcO/D&#10;6PrkEmN51KraKq2T4prdRjt2ABqSbfpO6D+5acP6kl8v8sVY/18hpun7E0SnAk27Vl3Jl2cnKCJr&#10;b01FaUIRQOlRpuq0OdEYmRs5DMNuIMfI7Q6rIxHqcJxq2kISWnTfOetpokvuv+3BSc70e0NNuZ7N&#10;53EFkpII5cxdWnaXFjCCoEoeOBvFTRjXZm+dalqKNI6BwVtqZK0Syc9ZnfKmqU1tOm1YXItLPXk9&#10;/wfWPwAAAP//AwBQSwMEFAAGAAgAAAAhAOII9LveAAAACQEAAA8AAABkcnMvZG93bnJldi54bWxM&#10;j81OwzAQhO9IvIO1SFwQdSD9DXEqhASCG7QVXN14m0TY62C7aXh7lhOcdlffaHamXI/OigFD7Dwp&#10;uJlkIJBqbzpqFOy2j9dLEDFpMtp6QgXfGGFdnZ+VujD+RG84bFIj2IRioRW0KfWFlLFu0ek48T0S&#10;s4MPTic+QyNN0Cc2d1beZtlcOt0Rf2h1jw8t1p+bo1OwnD4PH/Elf32v5we7SleL4ekrKHV5Md7f&#10;gUg4pj8x/Mbn6FBxpr0/konCKsjzGXdJDFY8WTDNFrzsFcwYyKqU/xtUPwAAAP//AwBQSwECLQAU&#10;AAYACAAAACEAtoM4kv4AAADhAQAAEwAAAAAAAAAAAAAAAAAAAAAAW0NvbnRlbnRfVHlwZXNdLnht&#10;bFBLAQItABQABgAIAAAAIQA4/SH/1gAAAJQBAAALAAAAAAAAAAAAAAAAAC8BAABfcmVscy8ucmVs&#10;c1BLAQItABQABgAIAAAAIQCBZYDFJQIAAE8EAAAOAAAAAAAAAAAAAAAAAC4CAABkcnMvZTJvRG9j&#10;LnhtbFBLAQItABQABgAIAAAAIQDiCPS73gAAAAkBAAAPAAAAAAAAAAAAAAAAAH8EAABkcnMvZG93&#10;bnJldi54bWxQSwUGAAAAAAQABADzAAAAigUAAAAA&#10;">
                <v:textbox>
                  <w:txbxContent>
                    <w:p w:rsidR="00665B12" w:rsidRPr="00FD5F05" w:rsidRDefault="00FD5F05" w:rsidP="00665B12">
                      <w:pPr>
                        <w:jc w:val="center"/>
                        <w:rPr>
                          <w:lang w:val="lt-LT"/>
                        </w:rPr>
                      </w:pPr>
                      <w:r>
                        <w:rPr>
                          <w:lang w:val="lt-LT"/>
                        </w:rPr>
                        <w:t>N</w:t>
                      </w:r>
                    </w:p>
                  </w:txbxContent>
                </v:textbox>
              </v:shape>
            </w:pict>
          </mc:Fallback>
        </mc:AlternateContent>
      </w:r>
    </w:p>
    <w:p w:rsidR="00665B12" w:rsidRDefault="00665B12" w:rsidP="00665B12">
      <w:pPr>
        <w:ind w:right="-852" w:hanging="540"/>
      </w:pPr>
      <w:r>
        <w:t xml:space="preserve">Password protection required? (Y/N) *  </w:t>
      </w:r>
    </w:p>
    <w:p w:rsidR="00665B12" w:rsidRDefault="00665B12" w:rsidP="00665B12"/>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65B12" w:rsidTr="00887B16">
        <w:trPr>
          <w:jc w:val="center"/>
        </w:trPr>
        <w:tc>
          <w:tcPr>
            <w:tcW w:w="9923" w:type="dxa"/>
            <w:vAlign w:val="center"/>
          </w:tcPr>
          <w:p w:rsidR="00665B12" w:rsidRPr="007C3500" w:rsidRDefault="00665B12" w:rsidP="0004757A">
            <w:pPr>
              <w:pStyle w:val="berschrift4"/>
              <w:numPr>
                <w:ilvl w:val="0"/>
                <w:numId w:val="0"/>
              </w:numPr>
            </w:pPr>
          </w:p>
          <w:p w:rsidR="00665B12" w:rsidRDefault="00665B12" w:rsidP="0004757A">
            <w:pPr>
              <w:pStyle w:val="berschrift4"/>
              <w:numPr>
                <w:ilvl w:val="0"/>
                <w:numId w:val="0"/>
              </w:numPr>
              <w:rPr>
                <w:b/>
                <w:i w:val="0"/>
                <w:u w:val="none"/>
              </w:rPr>
            </w:pPr>
            <w:r w:rsidRPr="00046A82">
              <w:rPr>
                <w:b/>
                <w:i w:val="0"/>
                <w:u w:val="none"/>
              </w:rPr>
              <w:t>Summary</w:t>
            </w:r>
          </w:p>
          <w:p w:rsidR="00FD5F05" w:rsidRPr="006E7053" w:rsidRDefault="00FD5F05" w:rsidP="00FD5F05">
            <w:pPr>
              <w:rPr>
                <w:lang w:val="lt-LT"/>
              </w:rPr>
            </w:pPr>
            <w:r>
              <w:t xml:space="preserve">The </w:t>
            </w:r>
            <w:r w:rsidR="00503EF3">
              <w:t xml:space="preserve">report </w:t>
            </w:r>
            <w:r>
              <w:t>on mobile spectrum monitoring station equipment</w:t>
            </w:r>
            <w:bookmarkStart w:id="0" w:name="_GoBack"/>
            <w:bookmarkEnd w:id="0"/>
            <w:r w:rsidR="006E7053">
              <w:t xml:space="preserve"> could be </w:t>
            </w:r>
            <w:r w:rsidR="00503EF3">
              <w:t xml:space="preserve">useful for planning the </w:t>
            </w:r>
            <w:r w:rsidR="00930FEC">
              <w:t xml:space="preserve">new </w:t>
            </w:r>
            <w:r w:rsidR="00503EF3">
              <w:t xml:space="preserve">mobile monitoring stations or improving the old ones.  </w:t>
            </w:r>
          </w:p>
          <w:p w:rsidR="00665B12" w:rsidRPr="00D57FDC" w:rsidRDefault="00D57FDC" w:rsidP="0004757A">
            <w:pPr>
              <w:pStyle w:val="berschrift4"/>
              <w:numPr>
                <w:ilvl w:val="0"/>
                <w:numId w:val="0"/>
              </w:numPr>
              <w:rPr>
                <w:rFonts w:cs="Arial"/>
                <w:i w:val="0"/>
                <w:u w:val="none"/>
              </w:rPr>
            </w:pPr>
            <w:r w:rsidRPr="00D57FDC">
              <w:rPr>
                <w:rFonts w:cs="Arial"/>
                <w:i w:val="0"/>
                <w:u w:val="none"/>
              </w:rPr>
              <w:t xml:space="preserve"> </w:t>
            </w:r>
          </w:p>
        </w:tc>
      </w:tr>
      <w:tr w:rsidR="00665B12" w:rsidTr="00887B16">
        <w:trPr>
          <w:jc w:val="center"/>
        </w:trPr>
        <w:tc>
          <w:tcPr>
            <w:tcW w:w="9923" w:type="dxa"/>
            <w:vAlign w:val="center"/>
          </w:tcPr>
          <w:p w:rsidR="00665B12" w:rsidRDefault="00665B12" w:rsidP="0004757A">
            <w:pPr>
              <w:pStyle w:val="berschrift4"/>
              <w:numPr>
                <w:ilvl w:val="0"/>
                <w:numId w:val="0"/>
              </w:numPr>
              <w:rPr>
                <w:rFonts w:cs="Arial"/>
              </w:rPr>
            </w:pPr>
          </w:p>
          <w:p w:rsidR="00665B12" w:rsidRDefault="00665B12" w:rsidP="0004757A">
            <w:pPr>
              <w:pStyle w:val="berschrift4"/>
              <w:numPr>
                <w:ilvl w:val="0"/>
                <w:numId w:val="0"/>
              </w:numPr>
              <w:rPr>
                <w:b/>
                <w:bCs/>
                <w:i w:val="0"/>
                <w:u w:val="none"/>
              </w:rPr>
            </w:pPr>
            <w:r w:rsidRPr="00046A82">
              <w:rPr>
                <w:b/>
                <w:bCs/>
                <w:i w:val="0"/>
                <w:u w:val="none"/>
              </w:rPr>
              <w:t>Proposal</w:t>
            </w:r>
          </w:p>
          <w:p w:rsidR="00930FEC" w:rsidRDefault="00FD5F05" w:rsidP="00930FEC">
            <w:r>
              <w:t>FM22 members are invited to</w:t>
            </w:r>
            <w:r w:rsidR="00503EF3">
              <w:t xml:space="preserve"> discuss the need for such a report and agree on contents of questionnaire that could be used for </w:t>
            </w:r>
            <w:r w:rsidR="00930FEC">
              <w:t xml:space="preserve">the </w:t>
            </w:r>
            <w:r w:rsidR="00503EF3">
              <w:t>report.</w:t>
            </w:r>
          </w:p>
          <w:p w:rsidR="00665B12" w:rsidRPr="00D57FDC" w:rsidRDefault="00503EF3" w:rsidP="00930FEC">
            <w:pPr>
              <w:rPr>
                <w:rFonts w:cs="Arial"/>
                <w:i/>
              </w:rPr>
            </w:pPr>
            <w:r>
              <w:t xml:space="preserve"> </w:t>
            </w:r>
          </w:p>
        </w:tc>
      </w:tr>
      <w:tr w:rsidR="00665B12" w:rsidTr="00887B16">
        <w:trPr>
          <w:jc w:val="center"/>
        </w:trPr>
        <w:tc>
          <w:tcPr>
            <w:tcW w:w="9923" w:type="dxa"/>
            <w:vAlign w:val="center"/>
          </w:tcPr>
          <w:p w:rsidR="00665B12" w:rsidRPr="007C3500" w:rsidRDefault="00665B12" w:rsidP="0004757A">
            <w:pPr>
              <w:pStyle w:val="berschrift4"/>
              <w:numPr>
                <w:ilvl w:val="0"/>
                <w:numId w:val="0"/>
              </w:numPr>
            </w:pPr>
          </w:p>
          <w:p w:rsidR="00665B12" w:rsidRDefault="00665B12" w:rsidP="0004757A">
            <w:pPr>
              <w:pStyle w:val="berschrift4"/>
              <w:numPr>
                <w:ilvl w:val="0"/>
                <w:numId w:val="0"/>
              </w:numPr>
              <w:rPr>
                <w:b/>
                <w:bCs/>
                <w:i w:val="0"/>
                <w:u w:val="none"/>
              </w:rPr>
            </w:pPr>
            <w:r w:rsidRPr="00046A82">
              <w:rPr>
                <w:b/>
                <w:bCs/>
                <w:i w:val="0"/>
                <w:u w:val="none"/>
              </w:rPr>
              <w:t>Background</w:t>
            </w:r>
          </w:p>
          <w:p w:rsidR="00930FEC" w:rsidRPr="008B319E" w:rsidRDefault="00930FEC" w:rsidP="002539AE">
            <w:pPr>
              <w:jc w:val="both"/>
              <w:rPr>
                <w:lang w:val="lt-LT"/>
              </w:rPr>
            </w:pPr>
            <w:r>
              <w:t xml:space="preserve">Mobile spectrum monitoring stations are </w:t>
            </w:r>
            <w:r w:rsidR="0034503B">
              <w:t xml:space="preserve">being used by all administrations for different tasks, that include a search for the source of radio interference, monitoring spectrum for illegal users and locating them, </w:t>
            </w:r>
            <w:r w:rsidR="00C43214">
              <w:t xml:space="preserve">inspection of </w:t>
            </w:r>
            <w:r w:rsidR="0034503B">
              <w:t xml:space="preserve">compliance with </w:t>
            </w:r>
            <w:r w:rsidR="00C43214">
              <w:t>licences, measurements of field strength, radiated power, network coverage</w:t>
            </w:r>
            <w:r w:rsidR="00140293">
              <w:t xml:space="preserve"> </w:t>
            </w:r>
            <w:r w:rsidR="00A13EC6">
              <w:t xml:space="preserve">and </w:t>
            </w:r>
            <w:r w:rsidR="00140293">
              <w:t>etc</w:t>
            </w:r>
            <w:r w:rsidR="00C43214">
              <w:t xml:space="preserve">. There is always a question what kind of mobile monitoring station do we need to carry out these tasks, what equipment should be installed. Is it possible to have only one universal mobile spectrum monitoring </w:t>
            </w:r>
            <w:r w:rsidR="002539AE">
              <w:t>station</w:t>
            </w:r>
            <w:r w:rsidR="00C43214">
              <w:t xml:space="preserve"> or we ne</w:t>
            </w:r>
            <w:r w:rsidR="002539AE">
              <w:t>ed several for different tasks? A report on mobile spectrum monitoring station equipment would</w:t>
            </w:r>
            <w:r w:rsidR="008B319E">
              <w:t xml:space="preserve"> help </w:t>
            </w:r>
            <w:r w:rsidR="009053A6">
              <w:t xml:space="preserve">all administrations in their planning procurements </w:t>
            </w:r>
            <w:r w:rsidR="00AA3C91">
              <w:t>for</w:t>
            </w:r>
            <w:r w:rsidR="009053A6">
              <w:t xml:space="preserve"> </w:t>
            </w:r>
            <w:r w:rsidR="008B319E">
              <w:t>new mobile monitoring stations or improv</w:t>
            </w:r>
            <w:r w:rsidR="009053A6">
              <w:t>ing</w:t>
            </w:r>
            <w:r w:rsidR="008B319E">
              <w:t xml:space="preserve"> the old ones in most efficient way. </w:t>
            </w:r>
          </w:p>
          <w:p w:rsidR="00665B12" w:rsidRPr="00D57FDC" w:rsidRDefault="00D57FDC" w:rsidP="0004757A">
            <w:pPr>
              <w:pStyle w:val="berschrift4"/>
              <w:numPr>
                <w:ilvl w:val="0"/>
                <w:numId w:val="0"/>
              </w:numPr>
              <w:rPr>
                <w:rFonts w:cs="Arial"/>
                <w:i w:val="0"/>
                <w:szCs w:val="24"/>
                <w:u w:val="none"/>
              </w:rPr>
            </w:pPr>
            <w:r w:rsidRPr="00D57FDC">
              <w:rPr>
                <w:rFonts w:cs="Arial"/>
                <w:i w:val="0"/>
                <w:szCs w:val="24"/>
                <w:u w:val="none"/>
              </w:rPr>
              <w:t xml:space="preserve"> </w:t>
            </w:r>
          </w:p>
        </w:tc>
      </w:tr>
    </w:tbl>
    <w:p w:rsidR="00665B12" w:rsidRDefault="00665B12" w:rsidP="00665B12"/>
    <w:p w:rsidR="00A66499" w:rsidRDefault="00A66499" w:rsidP="00665B12">
      <w:pPr>
        <w:pStyle w:val="StandardSpaced"/>
      </w:pPr>
    </w:p>
    <w:p w:rsidR="000A0D91" w:rsidRDefault="000A0D91"/>
    <w:sectPr w:rsidR="000A0D91" w:rsidSect="00665B12">
      <w:footerReference w:type="defaul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94" w:rsidRDefault="00E74294">
      <w:r>
        <w:separator/>
      </w:r>
    </w:p>
  </w:endnote>
  <w:endnote w:type="continuationSeparator" w:id="0">
    <w:p w:rsidR="00E74294" w:rsidRDefault="00E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3AD" w:rsidRDefault="007A33AD">
    <w:pPr>
      <w:ind w:left="-540" w:right="-852"/>
    </w:pPr>
    <w:r>
      <w:t xml:space="preserve">* ECC policy is that in general all documents should be publicly available unless the author of the document requires that it be restricted to ECC family participants only. </w:t>
    </w:r>
  </w:p>
  <w:p w:rsidR="007A33AD" w:rsidRDefault="007A33A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94" w:rsidRDefault="00E74294">
      <w:r>
        <w:separator/>
      </w:r>
    </w:p>
  </w:footnote>
  <w:footnote w:type="continuationSeparator" w:id="0">
    <w:p w:rsidR="00E74294" w:rsidRDefault="00E74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15B23"/>
    <w:multiLevelType w:val="multilevel"/>
    <w:tmpl w:val="7B168E66"/>
    <w:lvl w:ilvl="0">
      <w:start w:val="1"/>
      <w:numFmt w:val="decimal"/>
      <w:pStyle w:val="berschrift1"/>
      <w:lvlText w:val="%1."/>
      <w:lvlJc w:val="left"/>
      <w:pPr>
        <w:tabs>
          <w:tab w:val="num" w:pos="0"/>
        </w:tabs>
        <w:ind w:left="-720" w:hanging="360"/>
      </w:pPr>
      <w:rPr>
        <w:rFonts w:hint="default"/>
      </w:rPr>
    </w:lvl>
    <w:lvl w:ilvl="1">
      <w:start w:val="1"/>
      <w:numFmt w:val="decimal"/>
      <w:pStyle w:val="berschrift2"/>
      <w:lvlText w:val="%1.%2."/>
      <w:lvlJc w:val="left"/>
      <w:pPr>
        <w:tabs>
          <w:tab w:val="num" w:pos="1080"/>
        </w:tabs>
        <w:ind w:left="-288" w:hanging="432"/>
      </w:pPr>
      <w:rPr>
        <w:rFonts w:hint="default"/>
      </w:rPr>
    </w:lvl>
    <w:lvl w:ilvl="2">
      <w:start w:val="1"/>
      <w:numFmt w:val="decimal"/>
      <w:pStyle w:val="berschrift3"/>
      <w:lvlText w:val="%1.%2.%3."/>
      <w:lvlJc w:val="left"/>
      <w:pPr>
        <w:tabs>
          <w:tab w:val="num" w:pos="2160"/>
        </w:tabs>
        <w:ind w:left="144" w:hanging="504"/>
      </w:pPr>
      <w:rPr>
        <w:rFonts w:hint="default"/>
      </w:rPr>
    </w:lvl>
    <w:lvl w:ilvl="3">
      <w:start w:val="1"/>
      <w:numFmt w:val="decimal"/>
      <w:pStyle w:val="berschrift4"/>
      <w:lvlText w:val="%1.%2.%3.%4."/>
      <w:lvlJc w:val="left"/>
      <w:pPr>
        <w:tabs>
          <w:tab w:val="num" w:pos="3240"/>
        </w:tabs>
        <w:ind w:left="648" w:hanging="648"/>
      </w:pPr>
      <w:rPr>
        <w:rFonts w:hint="default"/>
      </w:rPr>
    </w:lvl>
    <w:lvl w:ilvl="4">
      <w:start w:val="1"/>
      <w:numFmt w:val="decimal"/>
      <w:pStyle w:val="berschrift5"/>
      <w:lvlText w:val="%1.%2.%3.%4.%5."/>
      <w:lvlJc w:val="left"/>
      <w:pPr>
        <w:tabs>
          <w:tab w:val="num" w:pos="4320"/>
        </w:tabs>
        <w:ind w:left="1152" w:hanging="792"/>
      </w:pPr>
      <w:rPr>
        <w:rFonts w:hint="default"/>
      </w:rPr>
    </w:lvl>
    <w:lvl w:ilvl="5">
      <w:start w:val="1"/>
      <w:numFmt w:val="decimal"/>
      <w:pStyle w:val="berschrift6"/>
      <w:lvlText w:val="%1.%2.%3.%4.%5.%6."/>
      <w:lvlJc w:val="left"/>
      <w:pPr>
        <w:tabs>
          <w:tab w:val="num" w:pos="5400"/>
        </w:tabs>
        <w:ind w:left="1656" w:hanging="936"/>
      </w:pPr>
      <w:rPr>
        <w:rFonts w:hint="default"/>
      </w:rPr>
    </w:lvl>
    <w:lvl w:ilvl="6">
      <w:start w:val="1"/>
      <w:numFmt w:val="decimal"/>
      <w:pStyle w:val="berschrift7"/>
      <w:lvlText w:val="%1.%2.%3.%4.%5.%6.%7."/>
      <w:lvlJc w:val="left"/>
      <w:pPr>
        <w:tabs>
          <w:tab w:val="num" w:pos="6480"/>
        </w:tabs>
        <w:ind w:left="2160" w:hanging="1080"/>
      </w:pPr>
      <w:rPr>
        <w:rFonts w:hint="default"/>
      </w:rPr>
    </w:lvl>
    <w:lvl w:ilvl="7">
      <w:start w:val="1"/>
      <w:numFmt w:val="decimal"/>
      <w:pStyle w:val="berschrift8"/>
      <w:lvlText w:val="%1.%2.%3.%4.%5.%6.%7.%8."/>
      <w:lvlJc w:val="left"/>
      <w:pPr>
        <w:tabs>
          <w:tab w:val="num" w:pos="7560"/>
        </w:tabs>
        <w:ind w:left="2664" w:hanging="1224"/>
      </w:pPr>
      <w:rPr>
        <w:rFonts w:hint="default"/>
      </w:rPr>
    </w:lvl>
    <w:lvl w:ilvl="8">
      <w:start w:val="1"/>
      <w:numFmt w:val="decimal"/>
      <w:pStyle w:val="berschrift9"/>
      <w:lvlText w:val="%1.%2.%3.%4.%5.%6.%7.%8.%9."/>
      <w:lvlJc w:val="left"/>
      <w:pPr>
        <w:tabs>
          <w:tab w:val="num" w:pos="8640"/>
        </w:tabs>
        <w:ind w:left="32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12"/>
    <w:rsid w:val="00001253"/>
    <w:rsid w:val="000031D7"/>
    <w:rsid w:val="00011263"/>
    <w:rsid w:val="00022A69"/>
    <w:rsid w:val="00027108"/>
    <w:rsid w:val="00036CCE"/>
    <w:rsid w:val="00043FD8"/>
    <w:rsid w:val="00045B9C"/>
    <w:rsid w:val="00047313"/>
    <w:rsid w:val="0004757A"/>
    <w:rsid w:val="0006257B"/>
    <w:rsid w:val="00064ACB"/>
    <w:rsid w:val="00073336"/>
    <w:rsid w:val="00073D2F"/>
    <w:rsid w:val="00074623"/>
    <w:rsid w:val="00087C75"/>
    <w:rsid w:val="000A0D91"/>
    <w:rsid w:val="000B39AD"/>
    <w:rsid w:val="000B71A7"/>
    <w:rsid w:val="000C7AB3"/>
    <w:rsid w:val="000D0731"/>
    <w:rsid w:val="000E0508"/>
    <w:rsid w:val="00106202"/>
    <w:rsid w:val="001210C1"/>
    <w:rsid w:val="001212CB"/>
    <w:rsid w:val="00122274"/>
    <w:rsid w:val="0013306D"/>
    <w:rsid w:val="00140293"/>
    <w:rsid w:val="001500FC"/>
    <w:rsid w:val="001508D1"/>
    <w:rsid w:val="00156819"/>
    <w:rsid w:val="00174C65"/>
    <w:rsid w:val="0018706A"/>
    <w:rsid w:val="00192DFE"/>
    <w:rsid w:val="001F0550"/>
    <w:rsid w:val="001F660D"/>
    <w:rsid w:val="00212CE6"/>
    <w:rsid w:val="00223B18"/>
    <w:rsid w:val="00230D67"/>
    <w:rsid w:val="00230F7E"/>
    <w:rsid w:val="0024255A"/>
    <w:rsid w:val="00243CE0"/>
    <w:rsid w:val="002539AE"/>
    <w:rsid w:val="00265F37"/>
    <w:rsid w:val="00272C03"/>
    <w:rsid w:val="002764A7"/>
    <w:rsid w:val="002764FE"/>
    <w:rsid w:val="00280B79"/>
    <w:rsid w:val="002A38EA"/>
    <w:rsid w:val="002A7148"/>
    <w:rsid w:val="002B5905"/>
    <w:rsid w:val="002C0446"/>
    <w:rsid w:val="002C71A0"/>
    <w:rsid w:val="002E0153"/>
    <w:rsid w:val="002F79EA"/>
    <w:rsid w:val="00310340"/>
    <w:rsid w:val="00344B8C"/>
    <w:rsid w:val="0034503B"/>
    <w:rsid w:val="00356E38"/>
    <w:rsid w:val="003622CA"/>
    <w:rsid w:val="003669FC"/>
    <w:rsid w:val="00373F79"/>
    <w:rsid w:val="003857D0"/>
    <w:rsid w:val="00395D42"/>
    <w:rsid w:val="003A679E"/>
    <w:rsid w:val="003C2333"/>
    <w:rsid w:val="003C36F0"/>
    <w:rsid w:val="003D5E1C"/>
    <w:rsid w:val="003E74D1"/>
    <w:rsid w:val="003F752A"/>
    <w:rsid w:val="00423A84"/>
    <w:rsid w:val="00435227"/>
    <w:rsid w:val="00440B7A"/>
    <w:rsid w:val="004416CF"/>
    <w:rsid w:val="00445813"/>
    <w:rsid w:val="0046007C"/>
    <w:rsid w:val="00463F48"/>
    <w:rsid w:val="0046709B"/>
    <w:rsid w:val="00484311"/>
    <w:rsid w:val="004A000B"/>
    <w:rsid w:val="004B4C82"/>
    <w:rsid w:val="004C1938"/>
    <w:rsid w:val="004F3750"/>
    <w:rsid w:val="005004FD"/>
    <w:rsid w:val="00503EF3"/>
    <w:rsid w:val="00507577"/>
    <w:rsid w:val="00524C58"/>
    <w:rsid w:val="005371FD"/>
    <w:rsid w:val="00537C6E"/>
    <w:rsid w:val="0055719F"/>
    <w:rsid w:val="00594D52"/>
    <w:rsid w:val="005D1B4A"/>
    <w:rsid w:val="005D745B"/>
    <w:rsid w:val="005F438B"/>
    <w:rsid w:val="005F5851"/>
    <w:rsid w:val="00601E02"/>
    <w:rsid w:val="00634C42"/>
    <w:rsid w:val="0063607B"/>
    <w:rsid w:val="006400E4"/>
    <w:rsid w:val="006456C2"/>
    <w:rsid w:val="00647A92"/>
    <w:rsid w:val="00653A7D"/>
    <w:rsid w:val="0066072A"/>
    <w:rsid w:val="00665B12"/>
    <w:rsid w:val="006752B1"/>
    <w:rsid w:val="00681D90"/>
    <w:rsid w:val="006C1BD9"/>
    <w:rsid w:val="006D11C2"/>
    <w:rsid w:val="006E6F70"/>
    <w:rsid w:val="006E7053"/>
    <w:rsid w:val="006E7944"/>
    <w:rsid w:val="006F1F16"/>
    <w:rsid w:val="00701B49"/>
    <w:rsid w:val="0071140E"/>
    <w:rsid w:val="00723D4C"/>
    <w:rsid w:val="0072608F"/>
    <w:rsid w:val="00726DF8"/>
    <w:rsid w:val="00750208"/>
    <w:rsid w:val="0076660A"/>
    <w:rsid w:val="0076693A"/>
    <w:rsid w:val="00780E72"/>
    <w:rsid w:val="007858B3"/>
    <w:rsid w:val="00790FCD"/>
    <w:rsid w:val="007A04F0"/>
    <w:rsid w:val="007A33AD"/>
    <w:rsid w:val="007A4FE5"/>
    <w:rsid w:val="007B5317"/>
    <w:rsid w:val="007D08F3"/>
    <w:rsid w:val="007D1E31"/>
    <w:rsid w:val="007E1064"/>
    <w:rsid w:val="007E6A4D"/>
    <w:rsid w:val="007E6E07"/>
    <w:rsid w:val="007F0959"/>
    <w:rsid w:val="007F26C2"/>
    <w:rsid w:val="0080592E"/>
    <w:rsid w:val="008115F1"/>
    <w:rsid w:val="0081290F"/>
    <w:rsid w:val="00835DBC"/>
    <w:rsid w:val="00842863"/>
    <w:rsid w:val="00842D18"/>
    <w:rsid w:val="00843664"/>
    <w:rsid w:val="00846746"/>
    <w:rsid w:val="0085647C"/>
    <w:rsid w:val="008576B9"/>
    <w:rsid w:val="00864EB9"/>
    <w:rsid w:val="008766AC"/>
    <w:rsid w:val="00884A67"/>
    <w:rsid w:val="00887B16"/>
    <w:rsid w:val="008B319E"/>
    <w:rsid w:val="008D3BA2"/>
    <w:rsid w:val="009053A6"/>
    <w:rsid w:val="009058D4"/>
    <w:rsid w:val="00912071"/>
    <w:rsid w:val="00921AAF"/>
    <w:rsid w:val="009249DF"/>
    <w:rsid w:val="00930FEC"/>
    <w:rsid w:val="00947414"/>
    <w:rsid w:val="00955859"/>
    <w:rsid w:val="00960232"/>
    <w:rsid w:val="00982C9A"/>
    <w:rsid w:val="009A16B9"/>
    <w:rsid w:val="009B3327"/>
    <w:rsid w:val="009B6182"/>
    <w:rsid w:val="009C178E"/>
    <w:rsid w:val="009E59D6"/>
    <w:rsid w:val="009F1FF1"/>
    <w:rsid w:val="009F6516"/>
    <w:rsid w:val="00A124B1"/>
    <w:rsid w:val="00A13EC6"/>
    <w:rsid w:val="00A169CA"/>
    <w:rsid w:val="00A17B36"/>
    <w:rsid w:val="00A22A17"/>
    <w:rsid w:val="00A42553"/>
    <w:rsid w:val="00A66499"/>
    <w:rsid w:val="00A8183E"/>
    <w:rsid w:val="00AA3C91"/>
    <w:rsid w:val="00AB6EDF"/>
    <w:rsid w:val="00AC4BC7"/>
    <w:rsid w:val="00AF3B61"/>
    <w:rsid w:val="00B00EFC"/>
    <w:rsid w:val="00B22889"/>
    <w:rsid w:val="00B36F0F"/>
    <w:rsid w:val="00B419FF"/>
    <w:rsid w:val="00B7345A"/>
    <w:rsid w:val="00B92EE0"/>
    <w:rsid w:val="00BA265E"/>
    <w:rsid w:val="00BA3B0B"/>
    <w:rsid w:val="00BA3CFF"/>
    <w:rsid w:val="00BE2BE0"/>
    <w:rsid w:val="00C103D7"/>
    <w:rsid w:val="00C1172A"/>
    <w:rsid w:val="00C227A8"/>
    <w:rsid w:val="00C43214"/>
    <w:rsid w:val="00C639AF"/>
    <w:rsid w:val="00C72C28"/>
    <w:rsid w:val="00CA3EE8"/>
    <w:rsid w:val="00CE1DC7"/>
    <w:rsid w:val="00CE3D93"/>
    <w:rsid w:val="00CE57EC"/>
    <w:rsid w:val="00CE5A2A"/>
    <w:rsid w:val="00CF5F83"/>
    <w:rsid w:val="00CF6FC6"/>
    <w:rsid w:val="00D033AC"/>
    <w:rsid w:val="00D05298"/>
    <w:rsid w:val="00D1702B"/>
    <w:rsid w:val="00D22DB0"/>
    <w:rsid w:val="00D40A33"/>
    <w:rsid w:val="00D47CAA"/>
    <w:rsid w:val="00D53077"/>
    <w:rsid w:val="00D57FDC"/>
    <w:rsid w:val="00D61A61"/>
    <w:rsid w:val="00D62220"/>
    <w:rsid w:val="00D71532"/>
    <w:rsid w:val="00D8141C"/>
    <w:rsid w:val="00D8570F"/>
    <w:rsid w:val="00DC0427"/>
    <w:rsid w:val="00DC5D78"/>
    <w:rsid w:val="00DC7F3A"/>
    <w:rsid w:val="00DD14A7"/>
    <w:rsid w:val="00DD43C8"/>
    <w:rsid w:val="00DE5482"/>
    <w:rsid w:val="00DE6FD7"/>
    <w:rsid w:val="00E13C13"/>
    <w:rsid w:val="00E14CCA"/>
    <w:rsid w:val="00E26454"/>
    <w:rsid w:val="00E44466"/>
    <w:rsid w:val="00E564AE"/>
    <w:rsid w:val="00E74294"/>
    <w:rsid w:val="00E7798A"/>
    <w:rsid w:val="00EB5861"/>
    <w:rsid w:val="00EB6CEC"/>
    <w:rsid w:val="00EC18B7"/>
    <w:rsid w:val="00EE0D0B"/>
    <w:rsid w:val="00EE1B00"/>
    <w:rsid w:val="00EE4015"/>
    <w:rsid w:val="00F01E6B"/>
    <w:rsid w:val="00F109EB"/>
    <w:rsid w:val="00F1192E"/>
    <w:rsid w:val="00F12024"/>
    <w:rsid w:val="00F23280"/>
    <w:rsid w:val="00F40944"/>
    <w:rsid w:val="00F50C45"/>
    <w:rsid w:val="00F5450F"/>
    <w:rsid w:val="00F567D3"/>
    <w:rsid w:val="00F6133E"/>
    <w:rsid w:val="00F6263C"/>
    <w:rsid w:val="00F64475"/>
    <w:rsid w:val="00F64522"/>
    <w:rsid w:val="00F65E1E"/>
    <w:rsid w:val="00F82E5F"/>
    <w:rsid w:val="00F85773"/>
    <w:rsid w:val="00FD5F05"/>
    <w:rsid w:val="00FF7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65B12"/>
    <w:rPr>
      <w:rFonts w:ascii="Arial" w:hAnsi="Arial"/>
      <w:sz w:val="22"/>
      <w:lang w:val="en-GB"/>
    </w:rPr>
  </w:style>
  <w:style w:type="paragraph" w:styleId="berschrift1">
    <w:name w:val="heading 1"/>
    <w:basedOn w:val="Standard"/>
    <w:next w:val="Standard"/>
    <w:qFormat/>
    <w:rsid w:val="0004757A"/>
    <w:pPr>
      <w:keepNext/>
      <w:numPr>
        <w:numId w:val="1"/>
      </w:numPr>
      <w:spacing w:before="240" w:after="60"/>
      <w:ind w:left="0" w:firstLine="0"/>
      <w:outlineLvl w:val="0"/>
    </w:pPr>
    <w:rPr>
      <w:rFonts w:cs="Arial"/>
      <w:b/>
      <w:bCs/>
      <w:kern w:val="32"/>
      <w:sz w:val="28"/>
      <w:szCs w:val="32"/>
    </w:rPr>
  </w:style>
  <w:style w:type="paragraph" w:styleId="berschrift2">
    <w:name w:val="heading 2"/>
    <w:basedOn w:val="Standard"/>
    <w:next w:val="Standard"/>
    <w:qFormat/>
    <w:rsid w:val="0004757A"/>
    <w:pPr>
      <w:keepNext/>
      <w:numPr>
        <w:ilvl w:val="1"/>
        <w:numId w:val="1"/>
      </w:numPr>
      <w:spacing w:before="240" w:after="60"/>
      <w:ind w:left="0" w:firstLine="0"/>
      <w:outlineLvl w:val="1"/>
    </w:pPr>
    <w:rPr>
      <w:rFonts w:cs="Arial"/>
      <w:b/>
      <w:bCs/>
      <w:i/>
      <w:iCs/>
      <w:sz w:val="24"/>
      <w:szCs w:val="28"/>
    </w:rPr>
  </w:style>
  <w:style w:type="paragraph" w:styleId="berschrift3">
    <w:name w:val="heading 3"/>
    <w:basedOn w:val="Standard"/>
    <w:next w:val="Standard"/>
    <w:qFormat/>
    <w:rsid w:val="0004757A"/>
    <w:pPr>
      <w:keepNext/>
      <w:numPr>
        <w:ilvl w:val="2"/>
        <w:numId w:val="1"/>
      </w:numPr>
      <w:spacing w:before="240" w:after="60"/>
      <w:ind w:left="0" w:firstLine="0"/>
      <w:outlineLvl w:val="2"/>
    </w:pPr>
    <w:rPr>
      <w:rFonts w:cs="Arial"/>
      <w:b/>
      <w:bCs/>
      <w:szCs w:val="26"/>
    </w:rPr>
  </w:style>
  <w:style w:type="paragraph" w:styleId="berschrift4">
    <w:name w:val="heading 4"/>
    <w:basedOn w:val="Standard"/>
    <w:next w:val="Standard"/>
    <w:qFormat/>
    <w:rsid w:val="0004757A"/>
    <w:pPr>
      <w:keepNext/>
      <w:numPr>
        <w:ilvl w:val="3"/>
        <w:numId w:val="1"/>
      </w:numPr>
      <w:outlineLvl w:val="3"/>
    </w:pPr>
    <w:rPr>
      <w:i/>
      <w:sz w:val="24"/>
      <w:u w:val="single"/>
    </w:rPr>
  </w:style>
  <w:style w:type="paragraph" w:styleId="berschrift5">
    <w:name w:val="heading 5"/>
    <w:basedOn w:val="Standard"/>
    <w:next w:val="Standard"/>
    <w:qFormat/>
    <w:rsid w:val="0004757A"/>
    <w:pPr>
      <w:numPr>
        <w:ilvl w:val="4"/>
        <w:numId w:val="1"/>
      </w:numPr>
      <w:spacing w:before="240" w:after="60"/>
      <w:outlineLvl w:val="4"/>
    </w:pPr>
    <w:rPr>
      <w:b/>
      <w:bCs/>
      <w:i/>
      <w:iCs/>
      <w:sz w:val="26"/>
      <w:szCs w:val="26"/>
    </w:rPr>
  </w:style>
  <w:style w:type="paragraph" w:styleId="berschrift6">
    <w:name w:val="heading 6"/>
    <w:basedOn w:val="Standard"/>
    <w:next w:val="Standard"/>
    <w:qFormat/>
    <w:rsid w:val="0004757A"/>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04757A"/>
    <w:pPr>
      <w:numPr>
        <w:ilvl w:val="6"/>
        <w:numId w:val="1"/>
      </w:numPr>
      <w:spacing w:before="240" w:after="60"/>
      <w:outlineLvl w:val="6"/>
    </w:pPr>
    <w:rPr>
      <w:rFonts w:ascii="Times New Roman" w:hAnsi="Times New Roman"/>
      <w:sz w:val="24"/>
      <w:szCs w:val="24"/>
    </w:rPr>
  </w:style>
  <w:style w:type="paragraph" w:styleId="berschrift8">
    <w:name w:val="heading 8"/>
    <w:basedOn w:val="Standard"/>
    <w:next w:val="Standard"/>
    <w:qFormat/>
    <w:rsid w:val="0004757A"/>
    <w:pPr>
      <w:numPr>
        <w:ilvl w:val="7"/>
        <w:numId w:val="1"/>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04757A"/>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65B12"/>
    <w:pPr>
      <w:tabs>
        <w:tab w:val="center" w:pos="4153"/>
        <w:tab w:val="right" w:pos="8306"/>
      </w:tabs>
    </w:pPr>
  </w:style>
  <w:style w:type="paragraph" w:customStyle="1" w:styleId="StandardSpaced">
    <w:name w:val="Standard Spaced"/>
    <w:basedOn w:val="Standard"/>
    <w:rsid w:val="00665B12"/>
    <w:pPr>
      <w:spacing w:after="120"/>
    </w:pPr>
  </w:style>
  <w:style w:type="paragraph" w:styleId="Sprechblasentext">
    <w:name w:val="Balloon Text"/>
    <w:basedOn w:val="Standard"/>
    <w:link w:val="SprechblasentextZchn"/>
    <w:rsid w:val="00BA3CFF"/>
    <w:rPr>
      <w:rFonts w:ascii="Tahoma" w:hAnsi="Tahoma" w:cs="Tahoma"/>
      <w:sz w:val="16"/>
      <w:szCs w:val="16"/>
    </w:rPr>
  </w:style>
  <w:style w:type="character" w:customStyle="1" w:styleId="SprechblasentextZchn">
    <w:name w:val="Sprechblasentext Zchn"/>
    <w:basedOn w:val="Absatz-Standardschriftart"/>
    <w:link w:val="Sprechblasentext"/>
    <w:rsid w:val="00BA3CF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65B12"/>
    <w:rPr>
      <w:rFonts w:ascii="Arial" w:hAnsi="Arial"/>
      <w:sz w:val="22"/>
      <w:lang w:val="en-GB"/>
    </w:rPr>
  </w:style>
  <w:style w:type="paragraph" w:styleId="berschrift1">
    <w:name w:val="heading 1"/>
    <w:basedOn w:val="Standard"/>
    <w:next w:val="Standard"/>
    <w:qFormat/>
    <w:rsid w:val="0004757A"/>
    <w:pPr>
      <w:keepNext/>
      <w:numPr>
        <w:numId w:val="1"/>
      </w:numPr>
      <w:spacing w:before="240" w:after="60"/>
      <w:ind w:left="0" w:firstLine="0"/>
      <w:outlineLvl w:val="0"/>
    </w:pPr>
    <w:rPr>
      <w:rFonts w:cs="Arial"/>
      <w:b/>
      <w:bCs/>
      <w:kern w:val="32"/>
      <w:sz w:val="28"/>
      <w:szCs w:val="32"/>
    </w:rPr>
  </w:style>
  <w:style w:type="paragraph" w:styleId="berschrift2">
    <w:name w:val="heading 2"/>
    <w:basedOn w:val="Standard"/>
    <w:next w:val="Standard"/>
    <w:qFormat/>
    <w:rsid w:val="0004757A"/>
    <w:pPr>
      <w:keepNext/>
      <w:numPr>
        <w:ilvl w:val="1"/>
        <w:numId w:val="1"/>
      </w:numPr>
      <w:spacing w:before="240" w:after="60"/>
      <w:ind w:left="0" w:firstLine="0"/>
      <w:outlineLvl w:val="1"/>
    </w:pPr>
    <w:rPr>
      <w:rFonts w:cs="Arial"/>
      <w:b/>
      <w:bCs/>
      <w:i/>
      <w:iCs/>
      <w:sz w:val="24"/>
      <w:szCs w:val="28"/>
    </w:rPr>
  </w:style>
  <w:style w:type="paragraph" w:styleId="berschrift3">
    <w:name w:val="heading 3"/>
    <w:basedOn w:val="Standard"/>
    <w:next w:val="Standard"/>
    <w:qFormat/>
    <w:rsid w:val="0004757A"/>
    <w:pPr>
      <w:keepNext/>
      <w:numPr>
        <w:ilvl w:val="2"/>
        <w:numId w:val="1"/>
      </w:numPr>
      <w:spacing w:before="240" w:after="60"/>
      <w:ind w:left="0" w:firstLine="0"/>
      <w:outlineLvl w:val="2"/>
    </w:pPr>
    <w:rPr>
      <w:rFonts w:cs="Arial"/>
      <w:b/>
      <w:bCs/>
      <w:szCs w:val="26"/>
    </w:rPr>
  </w:style>
  <w:style w:type="paragraph" w:styleId="berschrift4">
    <w:name w:val="heading 4"/>
    <w:basedOn w:val="Standard"/>
    <w:next w:val="Standard"/>
    <w:qFormat/>
    <w:rsid w:val="0004757A"/>
    <w:pPr>
      <w:keepNext/>
      <w:numPr>
        <w:ilvl w:val="3"/>
        <w:numId w:val="1"/>
      </w:numPr>
      <w:outlineLvl w:val="3"/>
    </w:pPr>
    <w:rPr>
      <w:i/>
      <w:sz w:val="24"/>
      <w:u w:val="single"/>
    </w:rPr>
  </w:style>
  <w:style w:type="paragraph" w:styleId="berschrift5">
    <w:name w:val="heading 5"/>
    <w:basedOn w:val="Standard"/>
    <w:next w:val="Standard"/>
    <w:qFormat/>
    <w:rsid w:val="0004757A"/>
    <w:pPr>
      <w:numPr>
        <w:ilvl w:val="4"/>
        <w:numId w:val="1"/>
      </w:numPr>
      <w:spacing w:before="240" w:after="60"/>
      <w:outlineLvl w:val="4"/>
    </w:pPr>
    <w:rPr>
      <w:b/>
      <w:bCs/>
      <w:i/>
      <w:iCs/>
      <w:sz w:val="26"/>
      <w:szCs w:val="26"/>
    </w:rPr>
  </w:style>
  <w:style w:type="paragraph" w:styleId="berschrift6">
    <w:name w:val="heading 6"/>
    <w:basedOn w:val="Standard"/>
    <w:next w:val="Standard"/>
    <w:qFormat/>
    <w:rsid w:val="0004757A"/>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04757A"/>
    <w:pPr>
      <w:numPr>
        <w:ilvl w:val="6"/>
        <w:numId w:val="1"/>
      </w:numPr>
      <w:spacing w:before="240" w:after="60"/>
      <w:outlineLvl w:val="6"/>
    </w:pPr>
    <w:rPr>
      <w:rFonts w:ascii="Times New Roman" w:hAnsi="Times New Roman"/>
      <w:sz w:val="24"/>
      <w:szCs w:val="24"/>
    </w:rPr>
  </w:style>
  <w:style w:type="paragraph" w:styleId="berschrift8">
    <w:name w:val="heading 8"/>
    <w:basedOn w:val="Standard"/>
    <w:next w:val="Standard"/>
    <w:qFormat/>
    <w:rsid w:val="0004757A"/>
    <w:pPr>
      <w:numPr>
        <w:ilvl w:val="7"/>
        <w:numId w:val="1"/>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04757A"/>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65B12"/>
    <w:pPr>
      <w:tabs>
        <w:tab w:val="center" w:pos="4153"/>
        <w:tab w:val="right" w:pos="8306"/>
      </w:tabs>
    </w:pPr>
  </w:style>
  <w:style w:type="paragraph" w:customStyle="1" w:styleId="StandardSpaced">
    <w:name w:val="Standard Spaced"/>
    <w:basedOn w:val="Standard"/>
    <w:rsid w:val="00665B12"/>
    <w:pPr>
      <w:spacing w:after="120"/>
    </w:pPr>
  </w:style>
  <w:style w:type="paragraph" w:styleId="Sprechblasentext">
    <w:name w:val="Balloon Text"/>
    <w:basedOn w:val="Standard"/>
    <w:link w:val="SprechblasentextZchn"/>
    <w:rsid w:val="00BA3CFF"/>
    <w:rPr>
      <w:rFonts w:ascii="Tahoma" w:hAnsi="Tahoma" w:cs="Tahoma"/>
      <w:sz w:val="16"/>
      <w:szCs w:val="16"/>
    </w:rPr>
  </w:style>
  <w:style w:type="character" w:customStyle="1" w:styleId="SprechblasentextZchn">
    <w:name w:val="Sprechblasentext Zchn"/>
    <w:basedOn w:val="Absatz-Standardschriftart"/>
    <w:link w:val="Sprechblasentext"/>
    <w:rsid w:val="00BA3CF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8E1A-45F3-4686-B09C-8C4382A5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1165</Characters>
  <Application>Microsoft Office Word</Application>
  <DocSecurity>4</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FM22</dc:creator>
  <cp:lastModifiedBy>Thomas Hasenpusch</cp:lastModifiedBy>
  <cp:revision>2</cp:revision>
  <dcterms:created xsi:type="dcterms:W3CDTF">2016-04-06T07:18:00Z</dcterms:created>
  <dcterms:modified xsi:type="dcterms:W3CDTF">2016-04-06T07:18:00Z</dcterms:modified>
</cp:coreProperties>
</file>