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rsidTr="000E3E4D">
        <w:trPr>
          <w:cantSplit/>
          <w:trHeight w:val="1560"/>
        </w:trPr>
        <w:tc>
          <w:tcPr>
            <w:tcW w:w="4820" w:type="dxa"/>
            <w:gridSpan w:val="2"/>
            <w:tcBorders>
              <w:top w:val="nil"/>
              <w:left w:val="nil"/>
              <w:bottom w:val="nil"/>
              <w:right w:val="nil"/>
            </w:tcBorders>
            <w:vAlign w:val="center"/>
          </w:tcPr>
          <w:p w:rsidR="00265F50" w:rsidRPr="00265F50" w:rsidRDefault="00265F50" w:rsidP="000C78BA">
            <w:pPr>
              <w:pStyle w:val="ECCLetterHead"/>
            </w:pPr>
            <w:r w:rsidRPr="00265F50">
              <w:rPr>
                <w:noProof/>
                <w:lang w:val="fr-FR" w:eastAsia="fr-FR"/>
              </w:rPr>
              <w:drawing>
                <wp:inline distT="0" distB="0" distL="0" distR="0" wp14:anchorId="794FBF8D" wp14:editId="03748421">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265F50" w:rsidRPr="00265F50" w:rsidRDefault="00265F50" w:rsidP="0020050C">
            <w:pPr>
              <w:pStyle w:val="ECCLetterHead"/>
            </w:pPr>
            <w:r>
              <w:tab/>
              <w:t xml:space="preserve">Doc. </w:t>
            </w:r>
            <w:r w:rsidR="000C78BA">
              <w:t>ECC(1</w:t>
            </w:r>
            <w:r w:rsidR="00E50441">
              <w:t>8</w:t>
            </w:r>
            <w:r w:rsidRPr="00265F50">
              <w:t>)</w:t>
            </w:r>
            <w:r w:rsidR="0020050C">
              <w:t>128</w:t>
            </w:r>
          </w:p>
        </w:tc>
      </w:tr>
      <w:tr w:rsidR="00F11542" w:rsidRPr="00A3755D"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0C78BA" w:rsidP="000A02D7">
            <w:pPr>
              <w:pStyle w:val="ECCLetterHead"/>
            </w:pPr>
            <w:r>
              <w:t>4</w:t>
            </w:r>
            <w:r w:rsidR="000A02D7">
              <w:t>9</w:t>
            </w:r>
            <w:r w:rsidRPr="000C78BA">
              <w:rPr>
                <w:vertAlign w:val="superscript"/>
              </w:rPr>
              <w:t>th</w:t>
            </w:r>
            <w:r>
              <w:t xml:space="preserve"> Meeting</w:t>
            </w:r>
          </w:p>
        </w:tc>
      </w:tr>
      <w:tr w:rsidR="00F11542" w:rsidRPr="00A3755D"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0A02D7" w:rsidP="000A02D7">
            <w:pPr>
              <w:pStyle w:val="ECCLetterHead"/>
            </w:pPr>
            <w:r>
              <w:t>Bordeaux, 2</w:t>
            </w:r>
            <w:r w:rsidR="00153415">
              <w:t>3–</w:t>
            </w:r>
            <w:r>
              <w:t>2</w:t>
            </w:r>
            <w:r w:rsidR="00164D78">
              <w:t xml:space="preserve">6 </w:t>
            </w:r>
            <w:r>
              <w:t>October</w:t>
            </w:r>
            <w:r w:rsidR="00164D78">
              <w:t xml:space="preserve"> </w:t>
            </w:r>
            <w:r w:rsidR="00E50441" w:rsidRPr="000E12B9">
              <w:t>201</w:t>
            </w:r>
            <w:r w:rsidR="00E50441">
              <w:t>8</w:t>
            </w:r>
          </w:p>
        </w:tc>
      </w:tr>
      <w:tr w:rsidR="00F11542" w:rsidRPr="00A3755D"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20050C" w:rsidP="0020050C">
            <w:pPr>
              <w:pStyle w:val="ECCLetterHead"/>
            </w:pPr>
            <w:r>
              <w:t>15</w:t>
            </w:r>
            <w:bookmarkStart w:id="0" w:name="_GoBack"/>
            <w:bookmarkEnd w:id="0"/>
            <w:r w:rsidR="00581966">
              <w:t xml:space="preserve"> October </w:t>
            </w:r>
            <w:r w:rsidR="00581966" w:rsidRPr="000E12B9">
              <w:t>201</w:t>
            </w:r>
            <w:r w:rsidR="00581966">
              <w:t>8</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581966" w:rsidP="00263FFB">
            <w:pPr>
              <w:pStyle w:val="ECCLetterHead"/>
            </w:pPr>
            <w:r>
              <w:t>Lithuania</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3F0885" w:rsidP="00263FFB">
            <w:pPr>
              <w:pStyle w:val="ECCLetterHead"/>
            </w:pPr>
            <w:r>
              <w:t>Applicability of draft ECC Report on MFN-ATS in L-band</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fr-FR" w:eastAsia="fr-FR"/>
              </w:rPr>
              <mc:AlternateContent>
                <mc:Choice Requires="wps">
                  <w:drawing>
                    <wp:anchor distT="0" distB="0" distL="114300" distR="114300" simplePos="0" relativeHeight="251662336" behindDoc="0" locked="1" layoutInCell="0" allowOverlap="1" wp14:anchorId="6BE019FC" wp14:editId="0F51D18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E019FC"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B7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8"/>
        </w:trPr>
        <w:tc>
          <w:tcPr>
            <w:tcW w:w="9781" w:type="dxa"/>
            <w:gridSpan w:val="3"/>
            <w:tcBorders>
              <w:top w:val="nil"/>
              <w:left w:val="single" w:sz="6" w:space="0" w:color="C00000"/>
              <w:bottom w:val="single" w:sz="6" w:space="0" w:color="C00000"/>
              <w:right w:val="single" w:sz="6" w:space="0" w:color="C00000"/>
            </w:tcBorders>
          </w:tcPr>
          <w:p w:rsidR="001602C8" w:rsidRPr="00263FFB" w:rsidRDefault="00863019" w:rsidP="00AB61B1">
            <w:pPr>
              <w:pStyle w:val="ECCTabletext"/>
            </w:pPr>
            <w:r>
              <w:t>Historical background of</w:t>
            </w:r>
            <w:r w:rsidR="001602C8" w:rsidRPr="001602C8">
              <w:t xml:space="preserve"> the footnote RR 5.342</w:t>
            </w:r>
            <w:r w:rsidR="001602C8">
              <w:t xml:space="preserve"> was already addressed in </w:t>
            </w:r>
            <w:r w:rsidR="000C7AD6">
              <w:t>5th CPG</w:t>
            </w:r>
            <w:r w:rsidR="008D1838">
              <w:t xml:space="preserve"> PTD</w:t>
            </w:r>
            <w:r w:rsidR="000C7AD6">
              <w:t xml:space="preserve"> </w:t>
            </w:r>
            <w:r w:rsidR="008D1838">
              <w:t>meeting</w:t>
            </w:r>
            <w:r w:rsidR="008D1838" w:rsidRPr="000C7AD6">
              <w:rPr>
                <w:szCs w:val="20"/>
              </w:rPr>
              <w:t xml:space="preserve"> </w:t>
            </w:r>
            <w:r w:rsidR="001602C8" w:rsidRPr="000C7AD6">
              <w:rPr>
                <w:szCs w:val="20"/>
              </w:rPr>
              <w:t>in t</w:t>
            </w:r>
            <w:r w:rsidR="001602C8">
              <w:t>he preparation for WRC-15</w:t>
            </w:r>
            <w:r w:rsidR="000C7AD6">
              <w:t xml:space="preserve">, document </w:t>
            </w:r>
            <w:hyperlink r:id="rId10" w:history="1">
              <w:r w:rsidR="008D1838" w:rsidRPr="008D1838">
                <w:rPr>
                  <w:rStyle w:val="Lienhypertexte"/>
                </w:rPr>
                <w:t>CPG-PTD(14)021</w:t>
              </w:r>
            </w:hyperlink>
            <w:r w:rsidR="000C7AD6">
              <w:rPr>
                <w:rFonts w:cs="Arial"/>
                <w:color w:val="333333"/>
                <w:szCs w:val="20"/>
              </w:rPr>
              <w:t>,</w:t>
            </w:r>
            <w:r w:rsidR="000C7AD6" w:rsidRPr="000C7AD6">
              <w:rPr>
                <w:szCs w:val="20"/>
              </w:rPr>
              <w:t xml:space="preserve"> </w:t>
            </w:r>
            <w:r w:rsidR="00190F09">
              <w:t>and is extracted in this contribution</w:t>
            </w:r>
            <w:r w:rsidR="001717B6">
              <w:t xml:space="preserve"> to respond to the statement from Russian Federation provided to </w:t>
            </w:r>
            <w:r w:rsidR="001717B6" w:rsidRPr="001717B6">
              <w:t>Minutes of 60th ECC PT1 meeting</w:t>
            </w:r>
            <w:r w:rsidR="00B443CD">
              <w:t xml:space="preserve"> regarding the draft ECC Report on </w:t>
            </w:r>
            <w:r w:rsidR="00B443CD" w:rsidRPr="00B443CD">
              <w:t>cross-border coordination of ATS</w:t>
            </w:r>
            <w:r w:rsidR="00B443CD">
              <w:t xml:space="preserve"> and MFCN</w:t>
            </w:r>
            <w:r w:rsidR="00B443CD" w:rsidRPr="00B443CD">
              <w:t xml:space="preserve"> in the 1452-1492 MHz</w:t>
            </w:r>
            <w:r w:rsidR="00B443CD">
              <w:t xml:space="preserve"> frequency band</w:t>
            </w:r>
            <w:r w:rsidR="001717B6">
              <w: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F24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8"/>
        </w:trPr>
        <w:tc>
          <w:tcPr>
            <w:tcW w:w="9781" w:type="dxa"/>
            <w:gridSpan w:val="3"/>
            <w:tcBorders>
              <w:top w:val="nil"/>
              <w:left w:val="single" w:sz="6" w:space="0" w:color="C00000"/>
              <w:bottom w:val="single" w:sz="6" w:space="0" w:color="C00000"/>
              <w:right w:val="single" w:sz="6" w:space="0" w:color="C00000"/>
            </w:tcBorders>
          </w:tcPr>
          <w:p w:rsidR="00263FFB" w:rsidRDefault="000C78BA" w:rsidP="00263FFB">
            <w:pPr>
              <w:pStyle w:val="ECCTabletext"/>
            </w:pPr>
            <w:r>
              <w:t>ECC is invited</w:t>
            </w:r>
            <w:r w:rsidR="00265F50">
              <w:t xml:space="preserve"> to</w:t>
            </w:r>
          </w:p>
          <w:p w:rsidR="002F70E6" w:rsidRPr="00263FFB" w:rsidRDefault="005E2420" w:rsidP="00F24CD1">
            <w:pPr>
              <w:pStyle w:val="ECCBulletsLv2"/>
            </w:pPr>
            <w:r>
              <w:t>consider</w:t>
            </w:r>
            <w:r w:rsidR="001602C8">
              <w:t xml:space="preserve"> this information </w:t>
            </w:r>
            <w:r w:rsidR="00190F09">
              <w:t xml:space="preserve">when </w:t>
            </w:r>
            <w:r>
              <w:t>a</w:t>
            </w:r>
            <w:r w:rsidR="00B75EA8">
              <w:t>d</w:t>
            </w:r>
            <w:r>
              <w:t>dressing</w:t>
            </w:r>
            <w:r w:rsidR="001602C8">
              <w:t xml:space="preserve"> </w:t>
            </w:r>
            <w:r w:rsidR="00190F09">
              <w:t xml:space="preserve">applicability of the </w:t>
            </w:r>
            <w:r w:rsidR="001602C8">
              <w:t>draft ECC Report</w:t>
            </w:r>
            <w:r w:rsidR="00A743FB">
              <w: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5F50" w:rsidRPr="00A3755D" w:rsidTr="00F24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8"/>
        </w:trPr>
        <w:tc>
          <w:tcPr>
            <w:tcW w:w="9781" w:type="dxa"/>
            <w:gridSpan w:val="3"/>
            <w:tcBorders>
              <w:top w:val="nil"/>
              <w:left w:val="single" w:sz="6" w:space="0" w:color="C00000"/>
              <w:bottom w:val="single" w:sz="6" w:space="0" w:color="C00000"/>
              <w:right w:val="single" w:sz="6" w:space="0" w:color="C00000"/>
            </w:tcBorders>
          </w:tcPr>
          <w:p w:rsidR="002F70E6" w:rsidRPr="00265F50" w:rsidRDefault="003E079A" w:rsidP="003E079A">
            <w:pPr>
              <w:pStyle w:val="ECCTabletext"/>
            </w:pPr>
            <w:r>
              <w:t>ECC PT1 at its 60</w:t>
            </w:r>
            <w:r w:rsidRPr="003E079A">
              <w:rPr>
                <w:vertAlign w:val="superscript"/>
              </w:rPr>
              <w:t>th</w:t>
            </w:r>
            <w:r>
              <w:t xml:space="preserve"> meeting on 17-21 October 2018 finalised the </w:t>
            </w:r>
            <w:r w:rsidRPr="00D95E75">
              <w:t xml:space="preserve">draft ECC Report on </w:t>
            </w:r>
            <w:r w:rsidR="00A743FB">
              <w:t>"</w:t>
            </w:r>
            <w:r w:rsidR="00A743FB" w:rsidRPr="00A743FB">
              <w:t>Guidance on Cross border coordination between MFCN and ATS in the 1429-1518 MHz band</w:t>
            </w:r>
            <w:r w:rsidR="00A743FB">
              <w:t>"</w:t>
            </w:r>
            <w:r w:rsidRPr="00D95E75">
              <w:rPr>
                <w:rFonts w:cs="Arial"/>
                <w:szCs w:val="20"/>
              </w:rPr>
              <w:t xml:space="preserve"> for submission to ECC for Public Consultation</w:t>
            </w:r>
            <w:r>
              <w:rPr>
                <w:rFonts w:cs="Arial"/>
                <w:szCs w:val="20"/>
              </w:rPr>
              <w:t>.</w:t>
            </w:r>
          </w:p>
        </w:tc>
      </w:tr>
    </w:tbl>
    <w:p w:rsidR="00AB61B1" w:rsidRDefault="00AB61B1" w:rsidP="00190F09">
      <w:pPr>
        <w:rPr>
          <w:rStyle w:val="ECCParagraph"/>
          <w:rFonts w:eastAsia="Times New Roman"/>
          <w:b/>
          <w:szCs w:val="16"/>
        </w:rPr>
      </w:pPr>
    </w:p>
    <w:p w:rsidR="00AB61B1" w:rsidRPr="00AB61B1" w:rsidRDefault="00AB61B1" w:rsidP="00AB61B1">
      <w:pPr>
        <w:pStyle w:val="ECCTabletext"/>
        <w:rPr>
          <w:b/>
        </w:rPr>
      </w:pPr>
      <w:r w:rsidRPr="00AB61B1">
        <w:rPr>
          <w:b/>
        </w:rPr>
        <w:t>1. Statement from the Russian Federation in Minutes of 60</w:t>
      </w:r>
      <w:r w:rsidRPr="005A26AB">
        <w:rPr>
          <w:b/>
          <w:vertAlign w:val="superscript"/>
        </w:rPr>
        <w:t>th</w:t>
      </w:r>
      <w:r w:rsidRPr="00AB61B1">
        <w:rPr>
          <w:b/>
        </w:rPr>
        <w:t xml:space="preserve"> ECC PT1 meeting held on 17-21 October 2018</w:t>
      </w:r>
    </w:p>
    <w:p w:rsidR="00AB61B1" w:rsidRPr="00190F09" w:rsidRDefault="00AB61B1" w:rsidP="00AB61B1">
      <w:pPr>
        <w:pStyle w:val="ECCTabletext"/>
        <w:rPr>
          <w:i/>
        </w:rPr>
      </w:pPr>
      <w:r w:rsidRPr="001717B6">
        <w:t>"</w:t>
      </w:r>
      <w:r w:rsidRPr="00190F09">
        <w:rPr>
          <w:i/>
        </w:rPr>
        <w:t>The Russian Federation uses the 1429-1535 MHz band (in particular the 1452-1492 MHz band) in accordance with a footnote 5.342 RR for the aeronautical telemetry systems (ATS), which include both ground stations and airborne stations receivers. Technical characteristics of such ATS are contained in the ITU-R Report M.2324.</w:t>
      </w:r>
    </w:p>
    <w:p w:rsidR="00AB61B1" w:rsidRPr="00190F09" w:rsidRDefault="00AB61B1" w:rsidP="00AB61B1">
      <w:pPr>
        <w:pStyle w:val="ECCTabletext"/>
        <w:rPr>
          <w:i/>
        </w:rPr>
      </w:pPr>
      <w:r w:rsidRPr="00190F09">
        <w:rPr>
          <w:i/>
        </w:rPr>
        <w:t>The Russian Federation is of the view that cross-border coordination of ATS in the 1452-1492 MHz band is possible only based on consideration of these systems as a whole (invaliding ground and airborne stations receivers). Therefore any guidance and deliverables (e.g. ECC Reports) partially covering ATS in the 1452-1492 MHz will be inapplicable and misleading for bilateral coordination process.</w:t>
      </w:r>
      <w:r w:rsidRPr="001717B6">
        <w:t>"</w:t>
      </w:r>
    </w:p>
    <w:p w:rsidR="00AB61B1" w:rsidRPr="00AB61B1" w:rsidRDefault="00AB61B1" w:rsidP="00190F09">
      <w:pPr>
        <w:rPr>
          <w:rStyle w:val="ECCParagraph"/>
          <w:rFonts w:eastAsia="Times New Roman"/>
          <w:b/>
          <w:szCs w:val="16"/>
        </w:rPr>
      </w:pPr>
      <w:r w:rsidRPr="00AB61B1">
        <w:rPr>
          <w:rStyle w:val="ECCParagraph"/>
          <w:rFonts w:eastAsia="Times New Roman"/>
          <w:b/>
          <w:szCs w:val="16"/>
        </w:rPr>
        <w:t>2. Excerpt from document CPG-</w:t>
      </w:r>
      <w:proofErr w:type="gramStart"/>
      <w:r w:rsidRPr="00AB61B1">
        <w:rPr>
          <w:rStyle w:val="ECCParagraph"/>
          <w:rFonts w:eastAsia="Times New Roman"/>
          <w:b/>
          <w:szCs w:val="16"/>
        </w:rPr>
        <w:t>PTD(</w:t>
      </w:r>
      <w:proofErr w:type="gramEnd"/>
      <w:r w:rsidRPr="00AB61B1">
        <w:rPr>
          <w:rStyle w:val="ECCParagraph"/>
          <w:rFonts w:eastAsia="Times New Roman"/>
          <w:b/>
          <w:szCs w:val="16"/>
        </w:rPr>
        <w:t>14)021:</w:t>
      </w:r>
    </w:p>
    <w:p w:rsidR="00190F09" w:rsidRPr="00190F09" w:rsidRDefault="009A3A75" w:rsidP="00190F09">
      <w:pPr>
        <w:rPr>
          <w:rStyle w:val="ECCParagraph"/>
          <w:rFonts w:eastAsia="Times New Roman"/>
          <w:b/>
          <w:szCs w:val="16"/>
        </w:rPr>
      </w:pPr>
      <w:r>
        <w:rPr>
          <w:rStyle w:val="ECCParagraph"/>
          <w:rFonts w:eastAsia="Times New Roman"/>
          <w:b/>
          <w:szCs w:val="16"/>
        </w:rPr>
        <w:t>[...] 2</w:t>
      </w:r>
      <w:r w:rsidR="00190F09" w:rsidRPr="00190F09">
        <w:rPr>
          <w:rStyle w:val="ECCParagraph"/>
          <w:rFonts w:eastAsia="Times New Roman"/>
          <w:b/>
          <w:szCs w:val="16"/>
        </w:rPr>
        <w:t>. Conception of the agreement mentioned in the footnote RR 5.342</w:t>
      </w:r>
    </w:p>
    <w:p w:rsidR="00190F09" w:rsidRPr="00190F09" w:rsidRDefault="00190F09" w:rsidP="00190F09">
      <w:pPr>
        <w:rPr>
          <w:rStyle w:val="ECCParagraph"/>
          <w:rFonts w:eastAsia="Times New Roman"/>
          <w:szCs w:val="16"/>
        </w:rPr>
      </w:pPr>
      <w:r w:rsidRPr="00190F09">
        <w:rPr>
          <w:rStyle w:val="ECCParagraph"/>
          <w:rFonts w:eastAsia="Times New Roman"/>
          <w:szCs w:val="16"/>
        </w:rPr>
        <w:t xml:space="preserve">Originally the band 1429-1525 MHz was allocated to the fixed and mobile, except aeronautical mobile, services on a primary basis (see Article 8 of the Radio Regulations edition of 1990). </w:t>
      </w:r>
    </w:p>
    <w:p w:rsidR="00190F09" w:rsidRPr="00190F09" w:rsidRDefault="00190F09" w:rsidP="00190F09">
      <w:pPr>
        <w:rPr>
          <w:rStyle w:val="ECCParagraph"/>
          <w:rFonts w:eastAsia="Times New Roman"/>
          <w:szCs w:val="16"/>
        </w:rPr>
      </w:pPr>
      <w:r w:rsidRPr="00190F09">
        <w:rPr>
          <w:rStyle w:val="ECCParagraph"/>
          <w:rFonts w:eastAsia="Times New Roman"/>
          <w:szCs w:val="16"/>
        </w:rPr>
        <w:lastRenderedPageBreak/>
        <w:t>At the World Administrative Radio Conference for dealing with frequency allocations in certain parts of the spectrum (WARC-92) (Malaga-Torremolinos, 1992), the proposal from USSR to add new footnote 723B to Article 8 (Article 5 in the current edition) of the Radio Regulations was received: “</w:t>
      </w:r>
      <w:r w:rsidRPr="00190F09">
        <w:rPr>
          <w:rStyle w:val="ECCParagraph"/>
          <w:rFonts w:eastAsia="Times New Roman"/>
          <w:i/>
          <w:szCs w:val="16"/>
        </w:rPr>
        <w:t>Additional allocation: in the USSR, the band 1427-1535 MHz is also used by the aeronautical mobile service exclusively for purposes of aeronautical telemetry on a primary basis within the national territory</w:t>
      </w:r>
      <w:r w:rsidRPr="00190F09">
        <w:rPr>
          <w:rStyle w:val="ECCParagraph"/>
          <w:rFonts w:eastAsia="Times New Roman"/>
          <w:szCs w:val="16"/>
        </w:rPr>
        <w:t>”. Belarus and Ukraine joined the proposal as well.</w:t>
      </w:r>
    </w:p>
    <w:p w:rsidR="00190F09" w:rsidRPr="00190F09" w:rsidRDefault="00190F09" w:rsidP="00190F09">
      <w:pPr>
        <w:rPr>
          <w:rStyle w:val="ECCParagraph"/>
          <w:rFonts w:eastAsia="Times New Roman"/>
          <w:szCs w:val="16"/>
        </w:rPr>
      </w:pPr>
      <w:r w:rsidRPr="00190F09">
        <w:rPr>
          <w:rStyle w:val="ECCParagraph"/>
          <w:rFonts w:eastAsia="Times New Roman"/>
          <w:szCs w:val="16"/>
        </w:rPr>
        <w:t>During the Conference, there was a discussion on this issue and the following wording of the ADD 723B occurred in the “blue pages” (</w:t>
      </w:r>
      <w:r>
        <w:rPr>
          <w:rStyle w:val="ECCParagraph"/>
          <w:rFonts w:eastAsia="Times New Roman"/>
          <w:szCs w:val="16"/>
        </w:rPr>
        <w:t>d</w:t>
      </w:r>
      <w:r w:rsidRPr="00190F09">
        <w:rPr>
          <w:rStyle w:val="ECCParagraph"/>
          <w:rFonts w:eastAsia="Times New Roman"/>
          <w:szCs w:val="16"/>
        </w:rPr>
        <w:t>oc. 391-E of WARC-92): “</w:t>
      </w:r>
      <w:r w:rsidRPr="00190F09">
        <w:rPr>
          <w:rStyle w:val="ECCParagraph"/>
          <w:rFonts w:eastAsia="Times New Roman"/>
          <w:i/>
          <w:szCs w:val="16"/>
        </w:rPr>
        <w:t>Additional allocation: in Belarus, the Russian Federation and Ukraine, the band 1429-1535 MHz is also allocated to the aeronautical mobile service on a primary basis exclusively for purposes of aeronautical telemetry within the national territory. [As of 1</w:t>
      </w:r>
      <w:r>
        <w:rPr>
          <w:rStyle w:val="ECCParagraph"/>
          <w:rFonts w:eastAsia="Times New Roman"/>
          <w:i/>
          <w:szCs w:val="16"/>
        </w:rPr>
        <w:t xml:space="preserve"> </w:t>
      </w:r>
      <w:r w:rsidRPr="00190F09">
        <w:rPr>
          <w:rStyle w:val="ECCParagraph"/>
          <w:rFonts w:eastAsia="Times New Roman"/>
          <w:i/>
          <w:szCs w:val="16"/>
        </w:rPr>
        <w:t>April</w:t>
      </w:r>
      <w:r>
        <w:rPr>
          <w:rStyle w:val="ECCParagraph"/>
          <w:rFonts w:eastAsia="Times New Roman"/>
          <w:i/>
          <w:szCs w:val="16"/>
        </w:rPr>
        <w:t xml:space="preserve"> </w:t>
      </w:r>
      <w:r w:rsidRPr="00190F09">
        <w:rPr>
          <w:rStyle w:val="ECCParagraph"/>
          <w:rFonts w:eastAsia="Times New Roman"/>
          <w:i/>
          <w:szCs w:val="16"/>
        </w:rPr>
        <w:t>2007 this allocation in the band shall be on a secondary basis.]</w:t>
      </w:r>
      <w:r w:rsidRPr="00190F09">
        <w:rPr>
          <w:rStyle w:val="ECCParagraph"/>
          <w:rFonts w:eastAsia="Times New Roman"/>
          <w:szCs w:val="16"/>
        </w:rPr>
        <w:t>”</w:t>
      </w:r>
    </w:p>
    <w:p w:rsidR="00190F09" w:rsidRPr="00190F09" w:rsidRDefault="00190F09" w:rsidP="00190F09">
      <w:pPr>
        <w:rPr>
          <w:rStyle w:val="ECCParagraph"/>
          <w:rFonts w:eastAsia="Times New Roman"/>
          <w:szCs w:val="16"/>
        </w:rPr>
      </w:pPr>
      <w:r w:rsidRPr="00190F09">
        <w:rPr>
          <w:rStyle w:val="ECCParagraph"/>
          <w:rFonts w:eastAsia="Times New Roman"/>
          <w:szCs w:val="16"/>
        </w:rPr>
        <w:t xml:space="preserve">In accordance with section 4.14 of </w:t>
      </w:r>
      <w:r>
        <w:rPr>
          <w:rStyle w:val="ECCParagraph"/>
          <w:rFonts w:eastAsia="Times New Roman"/>
          <w:szCs w:val="16"/>
        </w:rPr>
        <w:t>d</w:t>
      </w:r>
      <w:r w:rsidRPr="00190F09">
        <w:rPr>
          <w:rStyle w:val="ECCParagraph"/>
          <w:rFonts w:eastAsia="Times New Roman"/>
          <w:szCs w:val="16"/>
        </w:rPr>
        <w:t>oc. 397-E of WARC-92, “</w:t>
      </w:r>
      <w:r w:rsidRPr="00190F09">
        <w:rPr>
          <w:rStyle w:val="ECCParagraph"/>
          <w:rFonts w:eastAsia="Times New Roman"/>
          <w:i/>
          <w:szCs w:val="16"/>
        </w:rPr>
        <w:t>the delegate of Germany, with the agreement of the delegate of the Russian Federation, proposed that the final sentence, appearing in square brackets, should be replaced by</w:t>
      </w:r>
      <w:r w:rsidRPr="00190F09">
        <w:rPr>
          <w:rStyle w:val="ECCParagraph"/>
          <w:rFonts w:eastAsia="Times New Roman"/>
          <w:szCs w:val="16"/>
        </w:rPr>
        <w:t xml:space="preserve"> “</w:t>
      </w:r>
      <w:r w:rsidRPr="00190F09">
        <w:rPr>
          <w:rStyle w:val="ECCParagraph"/>
          <w:rFonts w:eastAsia="Times New Roman"/>
          <w:i/>
          <w:szCs w:val="16"/>
        </w:rPr>
        <w:t>As of 1 April 2007, the use of the band 1452-1492 MHz is subject to agreement between administrations concerned</w:t>
      </w:r>
      <w:r w:rsidRPr="00190F09">
        <w:rPr>
          <w:rStyle w:val="ECCParagraph"/>
          <w:rFonts w:eastAsia="Times New Roman"/>
          <w:szCs w:val="16"/>
        </w:rPr>
        <w:t>”. That proposal was approved and appeared in the Radio Regulations as the footnote RR 5.342 in the last edition.</w:t>
      </w:r>
    </w:p>
    <w:p w:rsidR="009A3A75" w:rsidRDefault="00190F09" w:rsidP="00190F09">
      <w:pPr>
        <w:rPr>
          <w:rStyle w:val="ECCParagraph"/>
          <w:rFonts w:eastAsia="Times New Roman"/>
          <w:szCs w:val="16"/>
        </w:rPr>
      </w:pPr>
      <w:r w:rsidRPr="00190F09">
        <w:rPr>
          <w:rStyle w:val="ECCParagraph"/>
          <w:rFonts w:eastAsia="Times New Roman"/>
          <w:szCs w:val="16"/>
        </w:rPr>
        <w:t>The mentioned historical background was to show that aeronautical telemetry was an incoming allocation and in order to protect originally allocated services there was an intention to allow aeronautical telemetry as temporal primary allocation with clear note that as of 1 April 2007 this allocation should be on a secondary basis. After the discussions, the wording was changed, but the point of the sentence remained the same: it was the tool to protect the fixed and mobile, except aeronautical mobile, services after 1 April 2007. Otherwise, the aim of the footnote RR 5.342 contradicts the principle of equitable access noted in the Article 44 of the Constitution of the International Telecommunication Union. It should be mentioned that one country listed in the footnote RR 5.342 notified the whole 1429-1514 MHz frequency band for mobile stations located on board of aircrafts (MA) in the Master International Frequency Register. Consequently, more than 10 neighbouring countries would not have possibility to use the band 1429-1514 MHz for the primary services. Therefore, to ensure compatibility between IMT systems and aeronautical telemetry systems in the frequency band 1452-1492 MHz, the administrations of the countries listed in the footnote RR 5.342 should agree with the administrations which are using or are going to use the fixed and mobile, except aeronautical mobile, services, taking into account the</w:t>
      </w:r>
      <w:r w:rsidR="009A3A75">
        <w:rPr>
          <w:rStyle w:val="ECCParagraph"/>
          <w:rFonts w:eastAsia="Times New Roman"/>
          <w:szCs w:val="16"/>
        </w:rPr>
        <w:t xml:space="preserve"> principle of equitable access. [...]</w:t>
      </w:r>
    </w:p>
    <w:p w:rsidR="00190F09" w:rsidRPr="00190F09" w:rsidRDefault="009A3A75" w:rsidP="00190F09">
      <w:pPr>
        <w:rPr>
          <w:rStyle w:val="ECCParagraph"/>
          <w:rFonts w:eastAsia="Times New Roman"/>
          <w:b/>
          <w:szCs w:val="16"/>
        </w:rPr>
      </w:pPr>
      <w:r>
        <w:rPr>
          <w:rStyle w:val="ECCParagraph"/>
          <w:rFonts w:eastAsia="Times New Roman"/>
          <w:b/>
          <w:szCs w:val="16"/>
        </w:rPr>
        <w:t>[...] 3</w:t>
      </w:r>
      <w:r w:rsidR="00190F09" w:rsidRPr="00190F09">
        <w:rPr>
          <w:rStyle w:val="ECCParagraph"/>
          <w:rFonts w:eastAsia="Times New Roman"/>
          <w:b/>
          <w:szCs w:val="16"/>
        </w:rPr>
        <w:t>. Receivers of aeronautical telemetry to be protected</w:t>
      </w:r>
    </w:p>
    <w:p w:rsidR="00190F09" w:rsidRPr="00190F09" w:rsidRDefault="00190F09" w:rsidP="00190F09">
      <w:pPr>
        <w:rPr>
          <w:rStyle w:val="ECCParagraph"/>
          <w:rFonts w:eastAsia="Times New Roman"/>
          <w:szCs w:val="16"/>
        </w:rPr>
      </w:pPr>
      <w:r w:rsidRPr="00190F09">
        <w:rPr>
          <w:rStyle w:val="ECCParagraph"/>
          <w:rFonts w:eastAsia="Times New Roman"/>
          <w:szCs w:val="16"/>
        </w:rPr>
        <w:t>By the letter XOFM(02)028 from the administration of the Russian Federation to the Chairman of the Extraordinary FM Meeting (Maastricht, 10</w:t>
      </w:r>
      <w:r>
        <w:rPr>
          <w:rStyle w:val="ECCParagraph"/>
          <w:rFonts w:eastAsia="Times New Roman"/>
          <w:szCs w:val="16"/>
        </w:rPr>
        <w:t>-</w:t>
      </w:r>
      <w:r w:rsidRPr="00190F09">
        <w:rPr>
          <w:rStyle w:val="ECCParagraph"/>
          <w:rFonts w:eastAsia="Times New Roman"/>
          <w:szCs w:val="16"/>
        </w:rPr>
        <w:t>14 June 2002) the Russian Federation confirmed that for the Russian aeronautical telemetry service (XR)  “</w:t>
      </w:r>
      <w:r w:rsidRPr="00190F09">
        <w:rPr>
          <w:rStyle w:val="ECCParagraph"/>
          <w:rFonts w:eastAsia="Times New Roman"/>
          <w:i/>
          <w:szCs w:val="16"/>
        </w:rPr>
        <w:t>the protected field strength value, used in Wiesbaden 95 Special Arrangement, which is equal to 15 dB(</w:t>
      </w:r>
      <w:proofErr w:type="spellStart"/>
      <w:r w:rsidRPr="00190F09">
        <w:rPr>
          <w:rStyle w:val="ECCParagraph"/>
          <w:rFonts w:eastAsia="Times New Roman"/>
          <w:i/>
          <w:szCs w:val="16"/>
        </w:rPr>
        <w:t>microV</w:t>
      </w:r>
      <w:proofErr w:type="spellEnd"/>
      <w:r w:rsidRPr="00190F09">
        <w:rPr>
          <w:rStyle w:val="ECCParagraph"/>
          <w:rFonts w:eastAsia="Times New Roman"/>
          <w:i/>
          <w:szCs w:val="16"/>
        </w:rPr>
        <w:t>/m) at the boundary of the Russian Federation, as well as the heights of the receiving and transmitting antenna 10 m and 10000 m accordingly</w:t>
      </w:r>
      <w:r w:rsidRPr="00190F09">
        <w:rPr>
          <w:rStyle w:val="ECCParagraph"/>
          <w:rFonts w:eastAsia="Times New Roman"/>
          <w:szCs w:val="16"/>
        </w:rPr>
        <w:t>” (the copy of the letter is attached).</w:t>
      </w:r>
      <w:r w:rsidR="00EC26F7" w:rsidRPr="00EC26F7">
        <w:rPr>
          <w:rStyle w:val="ECCParagraph"/>
          <w:rFonts w:eastAsia="Times New Roman"/>
          <w:szCs w:val="16"/>
        </w:rPr>
        <w:t xml:space="preserve"> </w:t>
      </w:r>
      <w:r w:rsidR="00EC26F7">
        <w:rPr>
          <w:rStyle w:val="ECCParagraph"/>
          <w:rFonts w:eastAsia="Times New Roman"/>
          <w:szCs w:val="16"/>
        </w:rPr>
        <w:t>[...]</w:t>
      </w:r>
    </w:p>
    <w:p w:rsidR="009A3A75" w:rsidRPr="009A3A75" w:rsidRDefault="009A3A75" w:rsidP="009A3A75">
      <w:pPr>
        <w:pStyle w:val="Textebrut"/>
        <w:jc w:val="both"/>
        <w:rPr>
          <w:rFonts w:ascii="Arial" w:hAnsi="Arial" w:cs="Arial"/>
          <w:sz w:val="20"/>
          <w:szCs w:val="20"/>
          <w:lang w:val="en-US"/>
        </w:rPr>
      </w:pPr>
    </w:p>
    <w:p w:rsidR="009A3A75" w:rsidRPr="009A3A75" w:rsidRDefault="009A3A75" w:rsidP="009A3A75">
      <w:pPr>
        <w:pStyle w:val="Textebrut"/>
        <w:jc w:val="both"/>
        <w:rPr>
          <w:rFonts w:ascii="Arial" w:hAnsi="Arial" w:cs="Arial"/>
          <w:sz w:val="20"/>
          <w:szCs w:val="20"/>
          <w:lang w:val="en-US"/>
        </w:rPr>
      </w:pPr>
      <w:r w:rsidRPr="009A3A75">
        <w:rPr>
          <w:rFonts w:ascii="Arial" w:hAnsi="Arial" w:cs="Arial"/>
          <w:sz w:val="20"/>
          <w:szCs w:val="20"/>
          <w:lang w:val="en-US"/>
        </w:rPr>
        <w:t xml:space="preserve">Attachment: </w:t>
      </w:r>
    </w:p>
    <w:p w:rsidR="009A3A75" w:rsidRDefault="009A3A75" w:rsidP="009A3A75">
      <w:pPr>
        <w:pStyle w:val="Textebrut"/>
        <w:jc w:val="both"/>
        <w:rPr>
          <w:rFonts w:ascii="Arial" w:hAnsi="Arial" w:cs="Arial"/>
          <w:sz w:val="20"/>
          <w:szCs w:val="20"/>
          <w:lang w:val="en-US"/>
        </w:rPr>
      </w:pPr>
      <w:r w:rsidRPr="009A3A75">
        <w:rPr>
          <w:rFonts w:ascii="Arial" w:hAnsi="Arial" w:cs="Arial"/>
          <w:sz w:val="20"/>
          <w:szCs w:val="20"/>
          <w:lang w:val="en-US"/>
        </w:rPr>
        <w:object w:dxaOrig="1551" w:dyaOrig="1004">
          <v:shape id="_x0000_i1025" type="#_x0000_t75" style="width:78pt;height:50.25pt" o:ole="">
            <v:imagedata r:id="rId11" o:title=""/>
          </v:shape>
          <o:OLEObject Type="Embed" ProgID="AcroExch.Document.DC" ShapeID="_x0000_i1025" DrawAspect="Icon" ObjectID="_1601134713" r:id="rId12"/>
        </w:object>
      </w:r>
    </w:p>
    <w:p w:rsidR="00AB61B1" w:rsidRPr="00AB61B1" w:rsidRDefault="00B75EA8" w:rsidP="00AB61B1">
      <w:pPr>
        <w:rPr>
          <w:rStyle w:val="ECCParagraph"/>
          <w:rFonts w:eastAsia="Times New Roman"/>
          <w:b/>
          <w:szCs w:val="16"/>
        </w:rPr>
      </w:pPr>
      <w:r>
        <w:rPr>
          <w:rStyle w:val="ECCParagraph"/>
          <w:rFonts w:eastAsia="Times New Roman"/>
          <w:b/>
          <w:szCs w:val="16"/>
        </w:rPr>
        <w:t>3</w:t>
      </w:r>
      <w:r w:rsidR="00AB61B1" w:rsidRPr="00AB61B1">
        <w:rPr>
          <w:rStyle w:val="ECCParagraph"/>
          <w:rFonts w:eastAsia="Times New Roman"/>
          <w:b/>
          <w:szCs w:val="16"/>
        </w:rPr>
        <w:t xml:space="preserve">. </w:t>
      </w:r>
      <w:r>
        <w:rPr>
          <w:rStyle w:val="ECCParagraph"/>
          <w:rFonts w:eastAsia="Times New Roman"/>
          <w:b/>
          <w:szCs w:val="16"/>
        </w:rPr>
        <w:t>Conclusions</w:t>
      </w:r>
    </w:p>
    <w:p w:rsidR="009A3A75" w:rsidRPr="006612A0" w:rsidRDefault="00AB61B1" w:rsidP="006612A0">
      <w:pPr>
        <w:rPr>
          <w:rStyle w:val="ECCParagraph"/>
          <w:rFonts w:eastAsia="Times New Roman"/>
          <w:szCs w:val="16"/>
        </w:rPr>
      </w:pPr>
      <w:r w:rsidRPr="006612A0">
        <w:rPr>
          <w:rStyle w:val="ECCParagraph"/>
          <w:rFonts w:eastAsia="Times New Roman"/>
          <w:szCs w:val="16"/>
        </w:rPr>
        <w:t>The above mentioned historical background confirms that for protection of aeronautical telemetry countries listed in RR 5.342 should reach bilateral cross-border coordination agreement with the neighbouring countries on the basis of the principle of equitable access concerning the frequency band 1452-1492 MHz.</w:t>
      </w:r>
    </w:p>
    <w:p w:rsidR="00EC26F7" w:rsidRPr="006612A0" w:rsidRDefault="00EC26F7" w:rsidP="006612A0">
      <w:pPr>
        <w:rPr>
          <w:rStyle w:val="ECCParagraph"/>
          <w:rFonts w:eastAsia="Times New Roman"/>
          <w:szCs w:val="16"/>
        </w:rPr>
      </w:pPr>
      <w:r w:rsidRPr="00190F09">
        <w:rPr>
          <w:rStyle w:val="ECCParagraph"/>
          <w:rFonts w:eastAsia="Times New Roman"/>
          <w:szCs w:val="16"/>
        </w:rPr>
        <w:t>The mentioned letter from the administration of the Russian Federation confirms that receiving antennas of aeronautical systems are on the ground (10</w:t>
      </w:r>
      <w:r w:rsidR="00BD64FA">
        <w:rPr>
          <w:rStyle w:val="ECCParagraph"/>
          <w:rFonts w:eastAsia="Times New Roman"/>
          <w:szCs w:val="16"/>
        </w:rPr>
        <w:t> </w:t>
      </w:r>
      <w:r w:rsidRPr="00190F09">
        <w:rPr>
          <w:rStyle w:val="ECCParagraph"/>
          <w:rFonts w:eastAsia="Times New Roman"/>
          <w:szCs w:val="16"/>
        </w:rPr>
        <w:t>m h</w:t>
      </w:r>
      <w:r>
        <w:rPr>
          <w:rStyle w:val="ECCParagraph"/>
          <w:rFonts w:eastAsia="Times New Roman"/>
          <w:szCs w:val="16"/>
        </w:rPr>
        <w:t>eight)</w:t>
      </w:r>
      <w:r w:rsidRPr="00EC26F7">
        <w:rPr>
          <w:rStyle w:val="ECCParagraph"/>
          <w:rFonts w:eastAsia="Times New Roman"/>
          <w:szCs w:val="16"/>
        </w:rPr>
        <w:t>, consequently</w:t>
      </w:r>
      <w:r w:rsidR="006612A0">
        <w:rPr>
          <w:rStyle w:val="ECCParagraph"/>
          <w:rFonts w:eastAsia="Times New Roman"/>
          <w:szCs w:val="16"/>
        </w:rPr>
        <w:t xml:space="preserve"> the </w:t>
      </w:r>
      <w:r w:rsidR="006612A0" w:rsidRPr="006612A0">
        <w:rPr>
          <w:rStyle w:val="ECCParagraph"/>
          <w:rFonts w:eastAsia="Times New Roman"/>
          <w:szCs w:val="16"/>
        </w:rPr>
        <w:t xml:space="preserve">guidance and deliverables (e.g. ECC Reports) </w:t>
      </w:r>
      <w:r w:rsidR="006612A0">
        <w:rPr>
          <w:rStyle w:val="ECCParagraph"/>
          <w:rFonts w:eastAsia="Times New Roman"/>
          <w:szCs w:val="16"/>
        </w:rPr>
        <w:t>covers</w:t>
      </w:r>
      <w:r w:rsidR="006612A0" w:rsidRPr="006612A0">
        <w:rPr>
          <w:rStyle w:val="ECCParagraph"/>
          <w:rFonts w:eastAsia="Times New Roman"/>
          <w:szCs w:val="16"/>
        </w:rPr>
        <w:t xml:space="preserve"> ATS in the 1452-1492 MHz </w:t>
      </w:r>
      <w:r w:rsidR="006612A0">
        <w:rPr>
          <w:rStyle w:val="ECCParagraph"/>
          <w:rFonts w:eastAsia="Times New Roman"/>
          <w:szCs w:val="16"/>
        </w:rPr>
        <w:t xml:space="preserve">and is </w:t>
      </w:r>
      <w:r w:rsidR="006612A0" w:rsidRPr="006612A0">
        <w:rPr>
          <w:rStyle w:val="ECCParagraph"/>
          <w:rFonts w:eastAsia="Times New Roman"/>
          <w:szCs w:val="16"/>
        </w:rPr>
        <w:t>applicable for bilateral coordination process</w:t>
      </w:r>
      <w:r w:rsidR="006612A0">
        <w:rPr>
          <w:rStyle w:val="ECCParagraph"/>
          <w:rFonts w:eastAsia="Times New Roman"/>
          <w:szCs w:val="16"/>
        </w:rPr>
        <w:t>.</w:t>
      </w:r>
    </w:p>
    <w:sectPr w:rsidR="00EC26F7" w:rsidRPr="006612A0" w:rsidSect="00797DEE">
      <w:headerReference w:type="even" r:id="rId13"/>
      <w:headerReference w:type="defaul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C8" w:rsidRDefault="00822EC8" w:rsidP="00DB17F9">
      <w:r>
        <w:separator/>
      </w:r>
    </w:p>
    <w:p w:rsidR="00822EC8" w:rsidRDefault="00822EC8"/>
  </w:endnote>
  <w:endnote w:type="continuationSeparator" w:id="0">
    <w:p w:rsidR="00822EC8" w:rsidRDefault="00822EC8" w:rsidP="00DB17F9">
      <w:r>
        <w:continuationSeparator/>
      </w:r>
    </w:p>
    <w:p w:rsidR="00822EC8" w:rsidRDefault="00822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C8" w:rsidRPr="00F51BD6" w:rsidRDefault="00822EC8" w:rsidP="00CD07E7">
      <w:pPr>
        <w:spacing w:before="120" w:after="0"/>
      </w:pPr>
      <w:r>
        <w:separator/>
      </w:r>
    </w:p>
  </w:footnote>
  <w:footnote w:type="continuationSeparator" w:id="0">
    <w:p w:rsidR="00822EC8" w:rsidRDefault="00822EC8" w:rsidP="00CD07E7">
      <w:pPr>
        <w:spacing w:before="120" w:after="0"/>
      </w:pPr>
      <w:r>
        <w:continuationSeparator/>
      </w:r>
    </w:p>
  </w:footnote>
  <w:footnote w:type="continuationNotice" w:id="1">
    <w:p w:rsidR="00822EC8" w:rsidRPr="00CD07E7" w:rsidRDefault="00822EC8"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0050C">
      <w:rPr>
        <w:noProof/>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5.75pt;height:59.25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41A18"/>
    <w:rsid w:val="0004622B"/>
    <w:rsid w:val="00067793"/>
    <w:rsid w:val="00080D4D"/>
    <w:rsid w:val="00082DD7"/>
    <w:rsid w:val="00095620"/>
    <w:rsid w:val="000A02D7"/>
    <w:rsid w:val="000A3940"/>
    <w:rsid w:val="000B6D45"/>
    <w:rsid w:val="000C028F"/>
    <w:rsid w:val="000C78BA"/>
    <w:rsid w:val="000C7AD6"/>
    <w:rsid w:val="000D1710"/>
    <w:rsid w:val="000D2760"/>
    <w:rsid w:val="000D43BB"/>
    <w:rsid w:val="000E3E4D"/>
    <w:rsid w:val="000E42F5"/>
    <w:rsid w:val="000E4E15"/>
    <w:rsid w:val="000F0594"/>
    <w:rsid w:val="000F0CA8"/>
    <w:rsid w:val="000F24F5"/>
    <w:rsid w:val="000F2ED9"/>
    <w:rsid w:val="001006CA"/>
    <w:rsid w:val="00100F8B"/>
    <w:rsid w:val="00102172"/>
    <w:rsid w:val="00110652"/>
    <w:rsid w:val="001526A2"/>
    <w:rsid w:val="00153415"/>
    <w:rsid w:val="00154F16"/>
    <w:rsid w:val="00156314"/>
    <w:rsid w:val="001602C8"/>
    <w:rsid w:val="00164D78"/>
    <w:rsid w:val="001717B6"/>
    <w:rsid w:val="00172B28"/>
    <w:rsid w:val="00183FE0"/>
    <w:rsid w:val="0018553F"/>
    <w:rsid w:val="00190F09"/>
    <w:rsid w:val="001A01CA"/>
    <w:rsid w:val="001A0820"/>
    <w:rsid w:val="001B0583"/>
    <w:rsid w:val="001C30A8"/>
    <w:rsid w:val="001F650B"/>
    <w:rsid w:val="0020050C"/>
    <w:rsid w:val="0020079A"/>
    <w:rsid w:val="00222F9E"/>
    <w:rsid w:val="002302A9"/>
    <w:rsid w:val="00231A0F"/>
    <w:rsid w:val="00263FFB"/>
    <w:rsid w:val="00265F50"/>
    <w:rsid w:val="00274F84"/>
    <w:rsid w:val="0027787F"/>
    <w:rsid w:val="0028060B"/>
    <w:rsid w:val="0028120C"/>
    <w:rsid w:val="00283417"/>
    <w:rsid w:val="00295827"/>
    <w:rsid w:val="00295F16"/>
    <w:rsid w:val="00296C44"/>
    <w:rsid w:val="002A033F"/>
    <w:rsid w:val="002B6CD1"/>
    <w:rsid w:val="002C6DC3"/>
    <w:rsid w:val="002D1FA9"/>
    <w:rsid w:val="002D50A3"/>
    <w:rsid w:val="002F70E6"/>
    <w:rsid w:val="003007C0"/>
    <w:rsid w:val="00307A79"/>
    <w:rsid w:val="003204D5"/>
    <w:rsid w:val="00320ED0"/>
    <w:rsid w:val="00322E6A"/>
    <w:rsid w:val="003314A0"/>
    <w:rsid w:val="00365B79"/>
    <w:rsid w:val="00381169"/>
    <w:rsid w:val="0038287C"/>
    <w:rsid w:val="0038358E"/>
    <w:rsid w:val="00387DDE"/>
    <w:rsid w:val="00391A01"/>
    <w:rsid w:val="003A0EB5"/>
    <w:rsid w:val="003A5711"/>
    <w:rsid w:val="003C64D9"/>
    <w:rsid w:val="003E079A"/>
    <w:rsid w:val="003E2E42"/>
    <w:rsid w:val="003E70E0"/>
    <w:rsid w:val="003F0885"/>
    <w:rsid w:val="00403CE6"/>
    <w:rsid w:val="004110CA"/>
    <w:rsid w:val="0041160E"/>
    <w:rsid w:val="00411C82"/>
    <w:rsid w:val="0042761F"/>
    <w:rsid w:val="00431162"/>
    <w:rsid w:val="00441EE0"/>
    <w:rsid w:val="00443482"/>
    <w:rsid w:val="00450308"/>
    <w:rsid w:val="00457AD1"/>
    <w:rsid w:val="0046427F"/>
    <w:rsid w:val="00467531"/>
    <w:rsid w:val="00485665"/>
    <w:rsid w:val="00491977"/>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6411"/>
    <w:rsid w:val="00577CAF"/>
    <w:rsid w:val="00580223"/>
    <w:rsid w:val="00581966"/>
    <w:rsid w:val="00594186"/>
    <w:rsid w:val="005A05D1"/>
    <w:rsid w:val="005A26AB"/>
    <w:rsid w:val="005A53B8"/>
    <w:rsid w:val="005B202B"/>
    <w:rsid w:val="005C10EB"/>
    <w:rsid w:val="005C2301"/>
    <w:rsid w:val="005C5A96"/>
    <w:rsid w:val="005D371D"/>
    <w:rsid w:val="005E2420"/>
    <w:rsid w:val="005E7495"/>
    <w:rsid w:val="00621C12"/>
    <w:rsid w:val="00623E18"/>
    <w:rsid w:val="00625C5D"/>
    <w:rsid w:val="00625F5C"/>
    <w:rsid w:val="00635A22"/>
    <w:rsid w:val="00642083"/>
    <w:rsid w:val="00644278"/>
    <w:rsid w:val="0065550D"/>
    <w:rsid w:val="006612A0"/>
    <w:rsid w:val="00664295"/>
    <w:rsid w:val="00665364"/>
    <w:rsid w:val="00667B35"/>
    <w:rsid w:val="006713EB"/>
    <w:rsid w:val="00673A9B"/>
    <w:rsid w:val="006876A8"/>
    <w:rsid w:val="006A3B77"/>
    <w:rsid w:val="006A49E3"/>
    <w:rsid w:val="006B1EFD"/>
    <w:rsid w:val="006C14E4"/>
    <w:rsid w:val="006C54DA"/>
    <w:rsid w:val="006C6DA8"/>
    <w:rsid w:val="006C7F61"/>
    <w:rsid w:val="006D407F"/>
    <w:rsid w:val="006F0442"/>
    <w:rsid w:val="00714F0F"/>
    <w:rsid w:val="007160BE"/>
    <w:rsid w:val="00722F65"/>
    <w:rsid w:val="007257CD"/>
    <w:rsid w:val="00734A4F"/>
    <w:rsid w:val="007414C6"/>
    <w:rsid w:val="007475A8"/>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22EC8"/>
    <w:rsid w:val="00837537"/>
    <w:rsid w:val="00842766"/>
    <w:rsid w:val="00854EBF"/>
    <w:rsid w:val="0086094D"/>
    <w:rsid w:val="00863019"/>
    <w:rsid w:val="0086731C"/>
    <w:rsid w:val="00872382"/>
    <w:rsid w:val="00886906"/>
    <w:rsid w:val="008912FE"/>
    <w:rsid w:val="008A245D"/>
    <w:rsid w:val="008A54FC"/>
    <w:rsid w:val="008B70CD"/>
    <w:rsid w:val="008C7B6B"/>
    <w:rsid w:val="008D141C"/>
    <w:rsid w:val="008D1838"/>
    <w:rsid w:val="008D2C13"/>
    <w:rsid w:val="008E6109"/>
    <w:rsid w:val="008E6B46"/>
    <w:rsid w:val="008F47AB"/>
    <w:rsid w:val="00907A34"/>
    <w:rsid w:val="0091112A"/>
    <w:rsid w:val="009170EA"/>
    <w:rsid w:val="0092076F"/>
    <w:rsid w:val="00930439"/>
    <w:rsid w:val="00937AEB"/>
    <w:rsid w:val="009662E3"/>
    <w:rsid w:val="00966DD9"/>
    <w:rsid w:val="00986677"/>
    <w:rsid w:val="0099421C"/>
    <w:rsid w:val="009A2F3A"/>
    <w:rsid w:val="009A3A75"/>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31849"/>
    <w:rsid w:val="00A41E1E"/>
    <w:rsid w:val="00A6411D"/>
    <w:rsid w:val="00A673EB"/>
    <w:rsid w:val="00A73298"/>
    <w:rsid w:val="00A743FB"/>
    <w:rsid w:val="00A751C0"/>
    <w:rsid w:val="00A95ACB"/>
    <w:rsid w:val="00A97942"/>
    <w:rsid w:val="00AA079B"/>
    <w:rsid w:val="00AA086A"/>
    <w:rsid w:val="00AB61B1"/>
    <w:rsid w:val="00AC0EA5"/>
    <w:rsid w:val="00AC2686"/>
    <w:rsid w:val="00AD1BE1"/>
    <w:rsid w:val="00AD7257"/>
    <w:rsid w:val="00AF0889"/>
    <w:rsid w:val="00AF2D0C"/>
    <w:rsid w:val="00AF4C0E"/>
    <w:rsid w:val="00AF5D66"/>
    <w:rsid w:val="00B14E5E"/>
    <w:rsid w:val="00B25910"/>
    <w:rsid w:val="00B26973"/>
    <w:rsid w:val="00B30D3B"/>
    <w:rsid w:val="00B432D4"/>
    <w:rsid w:val="00B443CD"/>
    <w:rsid w:val="00B5315C"/>
    <w:rsid w:val="00B576D7"/>
    <w:rsid w:val="00B75EA8"/>
    <w:rsid w:val="00B80892"/>
    <w:rsid w:val="00B82735"/>
    <w:rsid w:val="00B92306"/>
    <w:rsid w:val="00B92861"/>
    <w:rsid w:val="00BA7A69"/>
    <w:rsid w:val="00BB15E2"/>
    <w:rsid w:val="00BD28DF"/>
    <w:rsid w:val="00BD64FA"/>
    <w:rsid w:val="00BD6876"/>
    <w:rsid w:val="00BE2864"/>
    <w:rsid w:val="00C00565"/>
    <w:rsid w:val="00C076BF"/>
    <w:rsid w:val="00C212B5"/>
    <w:rsid w:val="00C25F81"/>
    <w:rsid w:val="00C27F02"/>
    <w:rsid w:val="00C32C20"/>
    <w:rsid w:val="00C44908"/>
    <w:rsid w:val="00C504F4"/>
    <w:rsid w:val="00C512DE"/>
    <w:rsid w:val="00C57E85"/>
    <w:rsid w:val="00C65BB4"/>
    <w:rsid w:val="00C8071C"/>
    <w:rsid w:val="00C816CB"/>
    <w:rsid w:val="00C82461"/>
    <w:rsid w:val="00C912ED"/>
    <w:rsid w:val="00C91E3B"/>
    <w:rsid w:val="00CA07CC"/>
    <w:rsid w:val="00CA25B5"/>
    <w:rsid w:val="00CA4FCE"/>
    <w:rsid w:val="00CA5F8F"/>
    <w:rsid w:val="00CC5A6F"/>
    <w:rsid w:val="00CD07E7"/>
    <w:rsid w:val="00CD155F"/>
    <w:rsid w:val="00CE271A"/>
    <w:rsid w:val="00CE6FF5"/>
    <w:rsid w:val="00CF5245"/>
    <w:rsid w:val="00D06683"/>
    <w:rsid w:val="00D07B1A"/>
    <w:rsid w:val="00D1101B"/>
    <w:rsid w:val="00D1167E"/>
    <w:rsid w:val="00D234E7"/>
    <w:rsid w:val="00D30E46"/>
    <w:rsid w:val="00D3663D"/>
    <w:rsid w:val="00D414F0"/>
    <w:rsid w:val="00D4349F"/>
    <w:rsid w:val="00D47EF6"/>
    <w:rsid w:val="00D50AC8"/>
    <w:rsid w:val="00D60A44"/>
    <w:rsid w:val="00D7390F"/>
    <w:rsid w:val="00D74F04"/>
    <w:rsid w:val="00D90913"/>
    <w:rsid w:val="00D92BEC"/>
    <w:rsid w:val="00D95DE5"/>
    <w:rsid w:val="00DA18F2"/>
    <w:rsid w:val="00DB17F9"/>
    <w:rsid w:val="00DD5136"/>
    <w:rsid w:val="00DD6973"/>
    <w:rsid w:val="00DF2C67"/>
    <w:rsid w:val="00DF3AE2"/>
    <w:rsid w:val="00DF7D21"/>
    <w:rsid w:val="00E03771"/>
    <w:rsid w:val="00E059C5"/>
    <w:rsid w:val="00E11D7E"/>
    <w:rsid w:val="00E12336"/>
    <w:rsid w:val="00E14334"/>
    <w:rsid w:val="00E2303A"/>
    <w:rsid w:val="00E343BD"/>
    <w:rsid w:val="00E348D9"/>
    <w:rsid w:val="00E36601"/>
    <w:rsid w:val="00E43FE3"/>
    <w:rsid w:val="00E46600"/>
    <w:rsid w:val="00E50441"/>
    <w:rsid w:val="00E51459"/>
    <w:rsid w:val="00E52C26"/>
    <w:rsid w:val="00E60351"/>
    <w:rsid w:val="00E668CE"/>
    <w:rsid w:val="00E71AE7"/>
    <w:rsid w:val="00E752E6"/>
    <w:rsid w:val="00EA2ED5"/>
    <w:rsid w:val="00EA6088"/>
    <w:rsid w:val="00EC1A2C"/>
    <w:rsid w:val="00EC26F7"/>
    <w:rsid w:val="00ED2C10"/>
    <w:rsid w:val="00F11542"/>
    <w:rsid w:val="00F212EB"/>
    <w:rsid w:val="00F23D13"/>
    <w:rsid w:val="00F24CD1"/>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15D7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paragraph" w:styleId="Textebrut">
    <w:name w:val="Plain Text"/>
    <w:basedOn w:val="Normal"/>
    <w:link w:val="TextebrutCar"/>
    <w:uiPriority w:val="99"/>
    <w:unhideWhenUsed/>
    <w:locked/>
    <w:rsid w:val="009A3A75"/>
    <w:pPr>
      <w:spacing w:before="0" w:after="0"/>
      <w:jc w:val="left"/>
    </w:pPr>
    <w:rPr>
      <w:rFonts w:ascii="Consolas" w:hAnsi="Consolas"/>
      <w:sz w:val="21"/>
      <w:szCs w:val="21"/>
      <w:lang w:val="fi-FI"/>
    </w:rPr>
  </w:style>
  <w:style w:type="character" w:customStyle="1" w:styleId="TextebrutCar">
    <w:name w:val="Texte brut Car"/>
    <w:basedOn w:val="Policepardfaut"/>
    <w:link w:val="Textebrut"/>
    <w:uiPriority w:val="99"/>
    <w:rsid w:val="009A3A75"/>
    <w:rPr>
      <w:rFonts w:ascii="Consolas" w:eastAsia="Calibri" w:hAnsi="Consolas"/>
      <w:sz w:val="21"/>
      <w:szCs w:val="21"/>
      <w:lang w:val="fi-FI"/>
    </w:rPr>
  </w:style>
  <w:style w:type="character" w:customStyle="1" w:styleId="UnresolvedMention">
    <w:name w:val="Unresolved Mention"/>
    <w:basedOn w:val="Policepardfaut"/>
    <w:uiPriority w:val="99"/>
    <w:semiHidden/>
    <w:unhideWhenUsed/>
    <w:rsid w:val="008D18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paragraph" w:styleId="Textebrut">
    <w:name w:val="Plain Text"/>
    <w:basedOn w:val="Normal"/>
    <w:link w:val="TextebrutCar"/>
    <w:uiPriority w:val="99"/>
    <w:unhideWhenUsed/>
    <w:locked/>
    <w:rsid w:val="009A3A75"/>
    <w:pPr>
      <w:spacing w:before="0" w:after="0"/>
      <w:jc w:val="left"/>
    </w:pPr>
    <w:rPr>
      <w:rFonts w:ascii="Consolas" w:hAnsi="Consolas"/>
      <w:sz w:val="21"/>
      <w:szCs w:val="21"/>
      <w:lang w:val="fi-FI"/>
    </w:rPr>
  </w:style>
  <w:style w:type="character" w:customStyle="1" w:styleId="TextebrutCar">
    <w:name w:val="Texte brut Car"/>
    <w:basedOn w:val="Policepardfaut"/>
    <w:link w:val="Textebrut"/>
    <w:uiPriority w:val="99"/>
    <w:rsid w:val="009A3A75"/>
    <w:rPr>
      <w:rFonts w:ascii="Consolas" w:eastAsia="Calibri" w:hAnsi="Consolas"/>
      <w:sz w:val="21"/>
      <w:szCs w:val="21"/>
      <w:lang w:val="fi-FI"/>
    </w:rPr>
  </w:style>
  <w:style w:type="character" w:customStyle="1" w:styleId="UnresolvedMention">
    <w:name w:val="Unresolved Mention"/>
    <w:basedOn w:val="Policepardfaut"/>
    <w:uiPriority w:val="99"/>
    <w:semiHidden/>
    <w:unhideWhenUsed/>
    <w:rsid w:val="008D18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ept.org/Documents/cpg-pt-d/14971/"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6D51-1C0D-4D82-B469-71C10E82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153</TotalTime>
  <Pages>2</Pages>
  <Words>985</Words>
  <Characters>5423</Characters>
  <Application>Microsoft Office Word</Application>
  <DocSecurity>0</DocSecurity>
  <Lines>45</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6396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France</cp:lastModifiedBy>
  <cp:revision>30</cp:revision>
  <cp:lastPrinted>2016-10-04T08:55:00Z</cp:lastPrinted>
  <dcterms:created xsi:type="dcterms:W3CDTF">2018-02-05T09:39:00Z</dcterms:created>
  <dcterms:modified xsi:type="dcterms:W3CDTF">2018-10-15T16:51:00Z</dcterms:modified>
  <cp:category>protected templates</cp:category>
  <cp:contentStatus>Template ECC</cp:contentStatus>
</cp:coreProperties>
</file>