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9"/>
        <w:gridCol w:w="3001"/>
        <w:gridCol w:w="4961"/>
      </w:tblGrid>
      <w:tr w:rsidR="00265F50" w:rsidRPr="00A3755D" w:rsidTr="000E3E4D">
        <w:trPr>
          <w:cantSplit/>
          <w:trHeight w:val="156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5F50" w:rsidRPr="00265F50" w:rsidRDefault="00265F50" w:rsidP="008A17FB">
            <w:pPr>
              <w:pStyle w:val="ECCLetterHead"/>
            </w:pPr>
            <w:r w:rsidRPr="00265F50">
              <w:rPr>
                <w:noProof/>
                <w:lang w:val="fr-FR" w:eastAsia="fr-FR"/>
              </w:rPr>
              <w:drawing>
                <wp:inline distT="0" distB="0" distL="0" distR="0" wp14:anchorId="5906C881" wp14:editId="7446CFA8">
                  <wp:extent cx="1617980" cy="82804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7980" cy="82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6717F">
              <w:t>CPG PT</w:t>
            </w:r>
            <w:r w:rsidR="008A17FB">
              <w:t>B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265F50" w:rsidRPr="00265F50" w:rsidRDefault="00265F50" w:rsidP="008A17FB">
            <w:pPr>
              <w:pStyle w:val="ECCLetterHead"/>
            </w:pPr>
            <w:r>
              <w:tab/>
              <w:t xml:space="preserve">Doc. </w:t>
            </w:r>
            <w:r w:rsidR="00A6717F">
              <w:t>PT</w:t>
            </w:r>
            <w:r w:rsidR="008A17FB">
              <w:t>B</w:t>
            </w:r>
            <w:r w:rsidR="00F11542">
              <w:t>(</w:t>
            </w:r>
            <w:r w:rsidR="00BE0B23">
              <w:t>2</w:t>
            </w:r>
            <w:r w:rsidR="00786671">
              <w:t>1</w:t>
            </w:r>
            <w:r w:rsidRPr="00265F50">
              <w:t>)</w:t>
            </w:r>
            <w:r w:rsidR="003F6D2D">
              <w:t>066</w:t>
            </w:r>
            <w:r w:rsidR="008A0BAB">
              <w:t>r1</w:t>
            </w:r>
          </w:p>
        </w:tc>
      </w:tr>
      <w:tr w:rsidR="00F11542" w:rsidRPr="00A3755D" w:rsidTr="00251D2A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1542" w:rsidRPr="0011705C" w:rsidRDefault="00A6717F" w:rsidP="00A07E71">
            <w:pPr>
              <w:pStyle w:val="ECCLetterHead"/>
            </w:pPr>
            <w:r>
              <w:t>CP</w:t>
            </w:r>
            <w:r w:rsidR="00A07E71">
              <w:t>G</w:t>
            </w:r>
            <w:r>
              <w:t xml:space="preserve"> PT</w:t>
            </w:r>
            <w:r w:rsidR="008A17FB">
              <w:t>B</w:t>
            </w:r>
            <w:r>
              <w:t>-</w:t>
            </w:r>
            <w:r w:rsidR="004A7FFD">
              <w:t>3</w:t>
            </w:r>
          </w:p>
        </w:tc>
      </w:tr>
      <w:tr w:rsidR="00F11542" w:rsidRPr="00A3755D" w:rsidTr="00251D2A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1542" w:rsidRPr="0011705C" w:rsidRDefault="008A17FB" w:rsidP="004A7FFD">
            <w:pPr>
              <w:pStyle w:val="ECCLetterHead"/>
            </w:pPr>
            <w:r>
              <w:t>Virtual meeting</w:t>
            </w:r>
            <w:r w:rsidR="00A6717F">
              <w:t xml:space="preserve">, </w:t>
            </w:r>
            <w:r w:rsidR="004A7FFD">
              <w:t>20</w:t>
            </w:r>
            <w:r w:rsidR="004A7FFD">
              <w:rPr>
                <w:vertAlign w:val="superscript"/>
              </w:rPr>
              <w:t>th</w:t>
            </w:r>
            <w:r w:rsidR="00A6717F">
              <w:t xml:space="preserve"> – </w:t>
            </w:r>
            <w:r w:rsidR="004A7FFD">
              <w:t>24</w:t>
            </w:r>
            <w:r>
              <w:rPr>
                <w:vertAlign w:val="superscript"/>
              </w:rPr>
              <w:t>th</w:t>
            </w:r>
            <w:r w:rsidR="00A6717F">
              <w:t xml:space="preserve"> </w:t>
            </w:r>
            <w:r w:rsidR="004A7FFD">
              <w:t>September</w:t>
            </w:r>
            <w:r w:rsidR="00A6717F">
              <w:t xml:space="preserve"> 202</w:t>
            </w:r>
            <w:r w:rsidR="00786671">
              <w:t>1</w:t>
            </w:r>
          </w:p>
        </w:tc>
      </w:tr>
      <w:tr w:rsidR="00F11542" w:rsidRPr="00A3755D" w:rsidTr="00251D2A">
        <w:tblPrEx>
          <w:tblCellMar>
            <w:left w:w="108" w:type="dxa"/>
            <w:right w:w="108" w:type="dxa"/>
          </w:tblCellMar>
        </w:tblPrEx>
        <w:trPr>
          <w:cantSplit/>
          <w:trHeight w:hRule="exact" w:val="79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1542" w:rsidRPr="00A3755D" w:rsidRDefault="00F11542" w:rsidP="00263FFB">
            <w:pPr>
              <w:pStyle w:val="ECCLetterHead"/>
            </w:pPr>
          </w:p>
        </w:tc>
      </w:tr>
      <w:tr w:rsidR="00263FFB" w:rsidRPr="00A3755D" w:rsidTr="001B0583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3FFB" w:rsidRPr="00263FFB" w:rsidRDefault="00263FFB" w:rsidP="00263FFB">
            <w:pPr>
              <w:pStyle w:val="ECCLetterHead"/>
            </w:pPr>
            <w:r w:rsidRPr="00A3755D">
              <w:t xml:space="preserve">Date issued: </w:t>
            </w:r>
          </w:p>
        </w:tc>
        <w:tc>
          <w:tcPr>
            <w:tcW w:w="79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3FFB" w:rsidRPr="00263FFB" w:rsidRDefault="00E75318" w:rsidP="008A0BAB">
            <w:pPr>
              <w:pStyle w:val="ECCLetterHead"/>
            </w:pPr>
            <w:r>
              <w:t>1</w:t>
            </w:r>
            <w:r w:rsidR="008A0BAB">
              <w:t>5</w:t>
            </w:r>
            <w:bookmarkStart w:id="0" w:name="_GoBack"/>
            <w:bookmarkEnd w:id="0"/>
            <w:r>
              <w:t xml:space="preserve"> September 2021</w:t>
            </w:r>
          </w:p>
        </w:tc>
      </w:tr>
      <w:tr w:rsidR="00263FFB" w:rsidRPr="00A3755D" w:rsidTr="001B0583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3FFB" w:rsidRPr="00263FFB" w:rsidRDefault="00263FFB" w:rsidP="00263FFB">
            <w:pPr>
              <w:pStyle w:val="ECCLetterHead"/>
            </w:pPr>
            <w:r w:rsidRPr="00A3755D">
              <w:t xml:space="preserve">Source: </w:t>
            </w:r>
          </w:p>
        </w:tc>
        <w:tc>
          <w:tcPr>
            <w:tcW w:w="79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3FFB" w:rsidRPr="00263FFB" w:rsidRDefault="00E75318" w:rsidP="00263FFB">
            <w:pPr>
              <w:pStyle w:val="ECCLetterHead"/>
            </w:pPr>
            <w:r>
              <w:t>United Kingdom</w:t>
            </w:r>
            <w:r w:rsidR="00BF3AFF">
              <w:t xml:space="preserve">, </w:t>
            </w:r>
            <w:r w:rsidR="005F6707">
              <w:t>Finland, Lithuania</w:t>
            </w:r>
            <w:r w:rsidR="00DE766E">
              <w:t>, Slovenia</w:t>
            </w:r>
          </w:p>
        </w:tc>
      </w:tr>
      <w:tr w:rsidR="00263FFB" w:rsidRPr="00A3755D" w:rsidTr="001B0583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3FFB" w:rsidRPr="00263FFB" w:rsidRDefault="00263FFB" w:rsidP="00263FFB">
            <w:pPr>
              <w:pStyle w:val="ECCLetterHead"/>
            </w:pPr>
            <w:r w:rsidRPr="00A3755D">
              <w:t xml:space="preserve">Subject: </w:t>
            </w:r>
          </w:p>
        </w:tc>
        <w:tc>
          <w:tcPr>
            <w:tcW w:w="79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3FFB" w:rsidRPr="00263FFB" w:rsidRDefault="00D75633" w:rsidP="00263FFB">
            <w:pPr>
              <w:pStyle w:val="ECCLetterHead"/>
            </w:pPr>
            <w:r>
              <w:t>Art</w:t>
            </w:r>
            <w:r w:rsidR="00482AD4">
              <w:t>icle</w:t>
            </w:r>
            <w:r>
              <w:t xml:space="preserve"> 21 Issue C</w:t>
            </w:r>
          </w:p>
        </w:tc>
      </w:tr>
      <w:tr w:rsidR="00263FFB" w:rsidRPr="00A3755D" w:rsidTr="001B0583">
        <w:tblPrEx>
          <w:tblCellMar>
            <w:left w:w="108" w:type="dxa"/>
            <w:right w:w="108" w:type="dxa"/>
          </w:tblCellMar>
        </w:tblPrEx>
        <w:trPr>
          <w:cantSplit/>
          <w:trHeight w:val="1040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3FFB" w:rsidRPr="00263FFB" w:rsidRDefault="00263FFB" w:rsidP="00263FFB">
            <w:pPr>
              <w:pStyle w:val="ECCTabletext"/>
            </w:pPr>
            <w:r w:rsidRPr="00263FFB">
              <w:rPr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0" allowOverlap="1" wp14:anchorId="5B995538" wp14:editId="2467227B">
                      <wp:simplePos x="0" y="0"/>
                      <wp:positionH relativeFrom="column">
                        <wp:posOffset>2718435</wp:posOffset>
                      </wp:positionH>
                      <wp:positionV relativeFrom="paragraph">
                        <wp:posOffset>186690</wp:posOffset>
                      </wp:positionV>
                      <wp:extent cx="457200" cy="269875"/>
                      <wp:effectExtent l="0" t="0" r="19050" b="15875"/>
                      <wp:wrapNone/>
                      <wp:docPr id="24" name="Textfeld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69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63FFB" w:rsidRPr="00F45561" w:rsidRDefault="00F45561" w:rsidP="00F45561">
                                  <w:pPr>
                                    <w:pStyle w:val="ECCTabletext"/>
                                    <w:jc w:val="center"/>
                                    <w:rPr>
                                      <w:lang w:val="de-DE"/>
                                    </w:rPr>
                                  </w:pPr>
                                  <w:r>
                                    <w:rPr>
                                      <w:lang w:val="de-DE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vert="horz" wrap="square" lIns="43200" tIns="28800" rIns="36000" bIns="720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5B99553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4" o:spid="_x0000_s1026" type="#_x0000_t202" style="position:absolute;left:0;text-align:left;margin-left:214.05pt;margin-top:14.7pt;width:36pt;height:2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" o:allowincell="f">
                      <v:textbox inset="1.2mm,.8mm,1mm,2mm">
                        <w:txbxContent>
                          <w:p w14:paraId="67139542" w14:textId="77777777" w:rsidR="00263FFB" w:rsidRPr="00F45561" w:rsidRDefault="00F45561" w:rsidP="00F45561">
                            <w:pPr>
                              <w:pStyle w:val="ECCTabletext"/>
                              <w:jc w:val="center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263FFB">
              <w:t xml:space="preserve">Group membership required </w:t>
            </w:r>
            <w:proofErr w:type="gramStart"/>
            <w:r w:rsidRPr="00263FFB">
              <w:t>to read</w:t>
            </w:r>
            <w:proofErr w:type="gramEnd"/>
            <w:r w:rsidRPr="00263FFB">
              <w:t>? (Y/N)</w:t>
            </w:r>
          </w:p>
        </w:tc>
      </w:tr>
      <w:tr w:rsidR="00263FFB" w:rsidRPr="00A3755D" w:rsidTr="001B0583">
        <w:tblPrEx>
          <w:tblCellMar>
            <w:left w:w="108" w:type="dxa"/>
            <w:right w:w="108" w:type="dxa"/>
          </w:tblCellMar>
        </w:tblPrEx>
        <w:trPr>
          <w:cantSplit/>
          <w:trHeight w:hRule="exact" w:val="74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3FFB" w:rsidRPr="00F32DEC" w:rsidRDefault="00263FFB" w:rsidP="00263FFB">
            <w:pPr>
              <w:rPr>
                <w:rStyle w:val="ECCParagraph"/>
              </w:rPr>
            </w:pPr>
          </w:p>
          <w:p w:rsidR="00263FFB" w:rsidRPr="00A3755D" w:rsidRDefault="00263FFB" w:rsidP="00263FFB"/>
        </w:tc>
      </w:tr>
      <w:tr w:rsidR="00263FFB" w:rsidRPr="00A3755D" w:rsidTr="00A751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6"/>
        </w:trPr>
        <w:tc>
          <w:tcPr>
            <w:tcW w:w="9781" w:type="dxa"/>
            <w:gridSpan w:val="3"/>
            <w:tcBorders>
              <w:top w:val="single" w:sz="6" w:space="0" w:color="C00000"/>
              <w:left w:val="single" w:sz="6" w:space="0" w:color="C00000"/>
              <w:bottom w:val="nil"/>
              <w:right w:val="single" w:sz="6" w:space="0" w:color="C00000"/>
            </w:tcBorders>
            <w:vAlign w:val="center"/>
          </w:tcPr>
          <w:p w:rsidR="00263FFB" w:rsidRPr="00263FFB" w:rsidRDefault="00263FFB" w:rsidP="00263FFB">
            <w:pPr>
              <w:pStyle w:val="ECCLetterHead"/>
            </w:pPr>
            <w:r w:rsidRPr="00A3755D">
              <w:t xml:space="preserve">Summary: </w:t>
            </w:r>
          </w:p>
        </w:tc>
      </w:tr>
      <w:tr w:rsidR="00263FFB" w:rsidRPr="00A3755D" w:rsidTr="00797D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12"/>
        </w:trPr>
        <w:tc>
          <w:tcPr>
            <w:tcW w:w="9781" w:type="dxa"/>
            <w:gridSpan w:val="3"/>
            <w:tcBorders>
              <w:top w:val="nil"/>
              <w:left w:val="single" w:sz="6" w:space="0" w:color="C00000"/>
              <w:bottom w:val="single" w:sz="6" w:space="0" w:color="C00000"/>
              <w:right w:val="single" w:sz="6" w:space="0" w:color="C00000"/>
            </w:tcBorders>
          </w:tcPr>
          <w:p w:rsidR="008A11A5" w:rsidRDefault="00E7034E" w:rsidP="00F12B5C">
            <w:r w:rsidRPr="00E7034E">
              <w:t xml:space="preserve">In its current preliminary position on Issue C, CEPT </w:t>
            </w:r>
            <w:r w:rsidR="002728D2" w:rsidRPr="00E7034E">
              <w:t xml:space="preserve">considers </w:t>
            </w:r>
            <w:r w:rsidR="00983107" w:rsidRPr="00E7034E">
              <w:t>developing</w:t>
            </w:r>
            <w:r w:rsidRPr="00E7034E">
              <w:t xml:space="preserve"> the updates of Table </w:t>
            </w:r>
            <w:r w:rsidRPr="002728D2">
              <w:rPr>
                <w:b/>
                <w:bCs/>
              </w:rPr>
              <w:t>21-2</w:t>
            </w:r>
            <w:r w:rsidRPr="00E7034E">
              <w:t xml:space="preserve"> of RR Article </w:t>
            </w:r>
            <w:r w:rsidRPr="00E7034E">
              <w:rPr>
                <w:b/>
                <w:bCs/>
              </w:rPr>
              <w:t>21</w:t>
            </w:r>
            <w:r>
              <w:t>.</w:t>
            </w:r>
            <w:r w:rsidRPr="00E7034E">
              <w:t xml:space="preserve"> </w:t>
            </w:r>
            <w:r w:rsidR="008A11A5" w:rsidRPr="00851A8C">
              <w:t xml:space="preserve">The </w:t>
            </w:r>
            <w:r w:rsidR="009E1045">
              <w:t>authors</w:t>
            </w:r>
            <w:r w:rsidR="008A11A5" w:rsidRPr="00851A8C">
              <w:t xml:space="preserve"> believe that, in considering the development of such updates, PT B should focus </w:t>
            </w:r>
            <w:r w:rsidR="00303A15">
              <w:t xml:space="preserve">only </w:t>
            </w:r>
            <w:r w:rsidR="008A11A5" w:rsidRPr="00851A8C">
              <w:t xml:space="preserve">on the band 24.45 – 27.5 GHz, parts of which did not have a </w:t>
            </w:r>
            <w:r w:rsidR="008A11A5">
              <w:t>mobile service</w:t>
            </w:r>
            <w:r w:rsidR="008A11A5" w:rsidRPr="00851A8C">
              <w:t xml:space="preserve"> allocation before WRC-19</w:t>
            </w:r>
            <w:r w:rsidR="008A11A5">
              <w:t xml:space="preserve">. The </w:t>
            </w:r>
            <w:r w:rsidR="0038600C">
              <w:t>authors</w:t>
            </w:r>
            <w:r w:rsidR="008A11A5">
              <w:t xml:space="preserve"> </w:t>
            </w:r>
            <w:r w:rsidR="0038600C">
              <w:t>do</w:t>
            </w:r>
            <w:r w:rsidR="008A11A5">
              <w:t xml:space="preserve"> not believe that the other bands should be </w:t>
            </w:r>
            <w:r w:rsidR="00EC0D48">
              <w:t>included in an update</w:t>
            </w:r>
            <w:r w:rsidR="008A11A5">
              <w:t xml:space="preserve"> at this stage; they already had a co-primary allocation before WRC-19, yet no previous conference decided to add them to Article </w:t>
            </w:r>
            <w:r w:rsidR="008A11A5" w:rsidRPr="002728D2">
              <w:rPr>
                <w:b/>
                <w:bCs/>
              </w:rPr>
              <w:t>21</w:t>
            </w:r>
            <w:r w:rsidR="008A11A5">
              <w:t>.</w:t>
            </w:r>
            <w:r w:rsidR="00F12B5C">
              <w:t xml:space="preserve"> </w:t>
            </w:r>
            <w:r w:rsidR="008A11A5">
              <w:t xml:space="preserve">This contribution </w:t>
            </w:r>
            <w:r w:rsidR="008A11A5" w:rsidRPr="008A11A5">
              <w:t>summarizes</w:t>
            </w:r>
            <w:r w:rsidR="008A11A5">
              <w:t xml:space="preserve"> the reasons </w:t>
            </w:r>
            <w:r w:rsidR="00F12B5C">
              <w:t>behind</w:t>
            </w:r>
            <w:r w:rsidR="008A11A5">
              <w:t xml:space="preserve"> this view</w:t>
            </w:r>
            <w:r w:rsidR="00F12B5C">
              <w:t>.</w:t>
            </w:r>
          </w:p>
          <w:p w:rsidR="002F70E6" w:rsidRPr="00263FFB" w:rsidRDefault="002F70E6" w:rsidP="00263FFB">
            <w:pPr>
              <w:pStyle w:val="ECCTabletext"/>
            </w:pPr>
          </w:p>
        </w:tc>
      </w:tr>
      <w:tr w:rsidR="00263FFB" w:rsidRPr="00A3755D" w:rsidTr="00797D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3"/>
        </w:trPr>
        <w:tc>
          <w:tcPr>
            <w:tcW w:w="9781" w:type="dxa"/>
            <w:gridSpan w:val="3"/>
            <w:tcBorders>
              <w:top w:val="single" w:sz="6" w:space="0" w:color="C00000"/>
              <w:left w:val="single" w:sz="6" w:space="0" w:color="C00000"/>
              <w:bottom w:val="nil"/>
              <w:right w:val="single" w:sz="6" w:space="0" w:color="C00000"/>
            </w:tcBorders>
            <w:vAlign w:val="center"/>
          </w:tcPr>
          <w:p w:rsidR="00263FFB" w:rsidRPr="00263FFB" w:rsidRDefault="00263FFB" w:rsidP="00263FFB">
            <w:pPr>
              <w:pStyle w:val="ECCLetterHead"/>
            </w:pPr>
            <w:r w:rsidRPr="00A3755D">
              <w:t>Proposal:</w:t>
            </w:r>
          </w:p>
        </w:tc>
      </w:tr>
      <w:tr w:rsidR="00263FFB" w:rsidRPr="00A3755D" w:rsidTr="00797D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2"/>
        </w:trPr>
        <w:tc>
          <w:tcPr>
            <w:tcW w:w="9781" w:type="dxa"/>
            <w:gridSpan w:val="3"/>
            <w:tcBorders>
              <w:top w:val="nil"/>
              <w:left w:val="single" w:sz="6" w:space="0" w:color="C00000"/>
              <w:bottom w:val="single" w:sz="6" w:space="0" w:color="C00000"/>
              <w:right w:val="single" w:sz="6" w:space="0" w:color="C00000"/>
            </w:tcBorders>
          </w:tcPr>
          <w:p w:rsidR="00263FFB" w:rsidRDefault="00BF3AFF" w:rsidP="00263FFB">
            <w:pPr>
              <w:pStyle w:val="ECCTabletext"/>
            </w:pPr>
            <w:r>
              <w:t>The authors invite</w:t>
            </w:r>
            <w:r w:rsidR="007E1A57">
              <w:t xml:space="preserve"> </w:t>
            </w:r>
            <w:r w:rsidR="00F676DF">
              <w:t>PT</w:t>
            </w:r>
            <w:r w:rsidR="008A17FB">
              <w:t>B</w:t>
            </w:r>
            <w:r w:rsidR="00265F50">
              <w:t xml:space="preserve"> to</w:t>
            </w:r>
            <w:r w:rsidR="009C1F0B">
              <w:t xml:space="preserve"> </w:t>
            </w:r>
            <w:r w:rsidR="00EB112B">
              <w:t>further develop the CEPT brief</w:t>
            </w:r>
            <w:r w:rsidR="00BC1E6F">
              <w:t xml:space="preserve"> by</w:t>
            </w:r>
            <w:r w:rsidR="00EB112B">
              <w:t>:</w:t>
            </w:r>
          </w:p>
          <w:p w:rsidR="001222D7" w:rsidRDefault="00470C13" w:rsidP="001222D7">
            <w:pPr>
              <w:pStyle w:val="ECCBulletsLv2"/>
            </w:pPr>
            <w:r>
              <w:t>c</w:t>
            </w:r>
            <w:r w:rsidR="00C95FB9">
              <w:t>onsider</w:t>
            </w:r>
            <w:r w:rsidR="00EB112B">
              <w:t>ing</w:t>
            </w:r>
            <w:r w:rsidR="00C95FB9">
              <w:t xml:space="preserve"> the elements provided in Sections 1-3 in its deliberations</w:t>
            </w:r>
            <w:r w:rsidR="00BC1E6F">
              <w:t>, and</w:t>
            </w:r>
          </w:p>
          <w:p w:rsidR="002F70E6" w:rsidRDefault="00470C13" w:rsidP="001222D7">
            <w:pPr>
              <w:pStyle w:val="ECCBulletsLv2"/>
            </w:pPr>
            <w:r w:rsidRPr="00470C13">
              <w:t>focus</w:t>
            </w:r>
            <w:r w:rsidR="00EB112B">
              <w:t>ing</w:t>
            </w:r>
            <w:r w:rsidRPr="00470C13">
              <w:t xml:space="preserve"> </w:t>
            </w:r>
            <w:r>
              <w:t xml:space="preserve">the development of updates to Table </w:t>
            </w:r>
            <w:r w:rsidRPr="00E7034E">
              <w:rPr>
                <w:b/>
                <w:bCs/>
              </w:rPr>
              <w:t>21-2</w:t>
            </w:r>
            <w:r>
              <w:t xml:space="preserve"> </w:t>
            </w:r>
            <w:r w:rsidR="00BC2A1E">
              <w:t xml:space="preserve">only </w:t>
            </w:r>
            <w:r w:rsidRPr="00470C13">
              <w:t xml:space="preserve">on the band 24.45 – 27.5 GHz </w:t>
            </w:r>
          </w:p>
          <w:p w:rsidR="002F70E6" w:rsidRPr="00263FFB" w:rsidRDefault="002F70E6" w:rsidP="002F70E6">
            <w:pPr>
              <w:pStyle w:val="ECCBulletsLv2"/>
              <w:numPr>
                <w:ilvl w:val="0"/>
                <w:numId w:val="0"/>
              </w:numPr>
              <w:ind w:left="680" w:hanging="340"/>
            </w:pPr>
          </w:p>
        </w:tc>
      </w:tr>
      <w:tr w:rsidR="00263FFB" w:rsidRPr="00A3755D" w:rsidTr="00797D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3"/>
        </w:trPr>
        <w:tc>
          <w:tcPr>
            <w:tcW w:w="9781" w:type="dxa"/>
            <w:gridSpan w:val="3"/>
            <w:tcBorders>
              <w:top w:val="single" w:sz="6" w:space="0" w:color="C00000"/>
              <w:left w:val="single" w:sz="6" w:space="0" w:color="C00000"/>
              <w:bottom w:val="nil"/>
              <w:right w:val="single" w:sz="6" w:space="0" w:color="C00000"/>
            </w:tcBorders>
            <w:vAlign w:val="center"/>
          </w:tcPr>
          <w:p w:rsidR="00263FFB" w:rsidRPr="00263FFB" w:rsidRDefault="00263FFB" w:rsidP="00263FFB">
            <w:pPr>
              <w:pStyle w:val="ECCLetterHead"/>
            </w:pPr>
            <w:r w:rsidRPr="00A3755D">
              <w:t>Background:</w:t>
            </w:r>
          </w:p>
        </w:tc>
      </w:tr>
      <w:tr w:rsidR="00265F50" w:rsidRPr="00A3755D" w:rsidTr="00797D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98"/>
        </w:trPr>
        <w:tc>
          <w:tcPr>
            <w:tcW w:w="9781" w:type="dxa"/>
            <w:gridSpan w:val="3"/>
            <w:tcBorders>
              <w:top w:val="nil"/>
              <w:left w:val="single" w:sz="6" w:space="0" w:color="C00000"/>
              <w:bottom w:val="single" w:sz="6" w:space="0" w:color="C00000"/>
              <w:right w:val="single" w:sz="6" w:space="0" w:color="C00000"/>
            </w:tcBorders>
          </w:tcPr>
          <w:p w:rsidR="00E725D4" w:rsidRPr="00265F50" w:rsidRDefault="00590D66" w:rsidP="008A11A5">
            <w:pPr>
              <w:pStyle w:val="ECCTabletext"/>
            </w:pPr>
            <w:r w:rsidRPr="00590D66">
              <w:t xml:space="preserve">As a result of discussions by WRC-19 on the applicability of the limit specified in No. </w:t>
            </w:r>
            <w:r w:rsidRPr="00590D66">
              <w:rPr>
                <w:b/>
                <w:bCs/>
              </w:rPr>
              <w:t>21.5</w:t>
            </w:r>
            <w:r w:rsidRPr="00590D66">
              <w:t xml:space="preserve"> of the Radio Regulations to IMT stations in the 26 GHz band</w:t>
            </w:r>
            <w:r w:rsidR="00102FF9">
              <w:t xml:space="preserve"> using AAS, the </w:t>
            </w:r>
            <w:r w:rsidRPr="00590D66">
              <w:t>ITU-R was invited to study this issue and to report the results of the studies to the Director of the Radiocommunication Bureau to be considered as the Director deems appropriate.</w:t>
            </w:r>
            <w:r w:rsidR="00A37E41">
              <w:t xml:space="preserve"> </w:t>
            </w:r>
            <w:r w:rsidR="00D92CD4">
              <w:t xml:space="preserve">CPG has split this task into three issues, and PT B </w:t>
            </w:r>
            <w:r w:rsidR="00597BD1">
              <w:t>deals with Issue C</w:t>
            </w:r>
            <w:r w:rsidR="00792017">
              <w:t xml:space="preserve"> on </w:t>
            </w:r>
            <w:r w:rsidR="00792017" w:rsidRPr="00792017">
              <w:t xml:space="preserve">necessary updates to Table </w:t>
            </w:r>
            <w:r w:rsidR="00792017" w:rsidRPr="00A714DC">
              <w:rPr>
                <w:b/>
                <w:bCs/>
              </w:rPr>
              <w:t>21-2</w:t>
            </w:r>
            <w:r w:rsidR="00792017" w:rsidRPr="00792017">
              <w:t xml:space="preserve"> related to terrestrial and space services sharing frequency bands</w:t>
            </w:r>
            <w:r w:rsidR="00792017">
              <w:t>.</w:t>
            </w:r>
            <w:r w:rsidR="000C0703">
              <w:t xml:space="preserve"> The current CEPT </w:t>
            </w:r>
            <w:r w:rsidR="006820A4">
              <w:t>preliminary</w:t>
            </w:r>
            <w:r w:rsidR="000C0703">
              <w:t xml:space="preserve"> position on this issue is </w:t>
            </w:r>
            <w:r w:rsidR="000C0703" w:rsidRPr="000C0703">
              <w:t xml:space="preserve">to </w:t>
            </w:r>
            <w:r w:rsidR="00D349A8">
              <w:t xml:space="preserve">consider to </w:t>
            </w:r>
            <w:r w:rsidR="000C0703" w:rsidRPr="000C0703">
              <w:t>develop</w:t>
            </w:r>
            <w:r w:rsidR="00822E0E" w:rsidRPr="000C0703">
              <w:t xml:space="preserve"> </w:t>
            </w:r>
            <w:r w:rsidR="000C0703" w:rsidRPr="000C0703">
              <w:t xml:space="preserve">the updates of Table </w:t>
            </w:r>
            <w:r w:rsidR="000C0703" w:rsidRPr="00A714DC">
              <w:rPr>
                <w:b/>
                <w:bCs/>
              </w:rPr>
              <w:t xml:space="preserve">21-2 </w:t>
            </w:r>
            <w:r w:rsidR="000C0703" w:rsidRPr="000C0703">
              <w:t xml:space="preserve">of RR Article </w:t>
            </w:r>
            <w:r w:rsidR="000C0703" w:rsidRPr="00A714DC">
              <w:rPr>
                <w:b/>
                <w:bCs/>
              </w:rPr>
              <w:t>21</w:t>
            </w:r>
            <w:r w:rsidR="000C0703" w:rsidRPr="000C0703">
              <w:t xml:space="preserve"> to include </w:t>
            </w:r>
            <w:r w:rsidR="000C0703">
              <w:t xml:space="preserve">a </w:t>
            </w:r>
            <w:r w:rsidR="00AC5C0A">
              <w:t>list</w:t>
            </w:r>
            <w:r w:rsidR="000C0703">
              <w:t xml:space="preserve"> </w:t>
            </w:r>
            <w:r w:rsidR="00D51114">
              <w:t xml:space="preserve">of </w:t>
            </w:r>
            <w:r w:rsidR="000C0703">
              <w:t>frequency bands beyond the 26 GHz band</w:t>
            </w:r>
            <w:r w:rsidR="000C0703" w:rsidRPr="000C0703">
              <w:t xml:space="preserve">, where </w:t>
            </w:r>
            <w:r w:rsidR="00AC5C0A">
              <w:t>space services have a co-primary allocation where terrestrial services.</w:t>
            </w:r>
            <w:r w:rsidR="003625B0">
              <w:t xml:space="preserve"> </w:t>
            </w:r>
          </w:p>
        </w:tc>
      </w:tr>
    </w:tbl>
    <w:p w:rsidR="001B0583" w:rsidRDefault="001B0583" w:rsidP="001B0583">
      <w:pPr>
        <w:pStyle w:val="ECCTablenote"/>
        <w:rPr>
          <w:rStyle w:val="ECCParagraph"/>
        </w:rPr>
      </w:pPr>
    </w:p>
    <w:p w:rsidR="00231A0F" w:rsidRDefault="00231A0F">
      <w:pPr>
        <w:rPr>
          <w:rStyle w:val="ECCParagraph"/>
          <w:rFonts w:eastAsia="Times New Roman"/>
          <w:szCs w:val="16"/>
        </w:rPr>
      </w:pPr>
      <w:r>
        <w:rPr>
          <w:rStyle w:val="ECCParagraph"/>
        </w:rPr>
        <w:br w:type="page"/>
      </w:r>
    </w:p>
    <w:p w:rsidR="00C32C20" w:rsidRDefault="00F64248" w:rsidP="00231A0F">
      <w:pPr>
        <w:pStyle w:val="Titre1"/>
        <w:rPr>
          <w:rStyle w:val="ECCParagraph"/>
        </w:rPr>
      </w:pPr>
      <w:r>
        <w:rPr>
          <w:rStyle w:val="ECCParagraph"/>
        </w:rPr>
        <w:lastRenderedPageBreak/>
        <w:t>summary</w:t>
      </w:r>
    </w:p>
    <w:p w:rsidR="00A170B9" w:rsidRPr="0021651A" w:rsidRDefault="00A170B9" w:rsidP="0021651A">
      <w:r w:rsidRPr="0021651A">
        <w:t xml:space="preserve">In </w:t>
      </w:r>
      <w:r w:rsidR="00091BBE" w:rsidRPr="0021651A">
        <w:t>its</w:t>
      </w:r>
      <w:r w:rsidRPr="0021651A">
        <w:t xml:space="preserve"> current </w:t>
      </w:r>
      <w:r w:rsidR="00091BBE" w:rsidRPr="0021651A">
        <w:t xml:space="preserve">preliminary </w:t>
      </w:r>
      <w:r w:rsidRPr="0021651A">
        <w:t>position on Issue C, CEPT considers</w:t>
      </w:r>
      <w:r w:rsidR="00640C67" w:rsidRPr="00E015D6">
        <w:rPr>
          <w:rStyle w:val="NotedebasdepageCar"/>
          <w:vertAlign w:val="superscript"/>
        </w:rPr>
        <w:footnoteReference w:id="2"/>
      </w:r>
      <w:r w:rsidRPr="0021651A">
        <w:t xml:space="preserve"> to develop the updates of Table </w:t>
      </w:r>
      <w:r w:rsidRPr="00566B9E">
        <w:rPr>
          <w:b/>
          <w:bCs/>
        </w:rPr>
        <w:t>21-2</w:t>
      </w:r>
      <w:r w:rsidRPr="0021651A">
        <w:t xml:space="preserve"> of RR Article </w:t>
      </w:r>
      <w:r w:rsidRPr="00566B9E">
        <w:rPr>
          <w:b/>
          <w:bCs/>
        </w:rPr>
        <w:t>21</w:t>
      </w:r>
      <w:r w:rsidRPr="0021651A">
        <w:t xml:space="preserve"> to include the following frequency bands, where reception by space stations is to be protected when these bands are shared with equal rights with the fixed and mobile services:</w:t>
      </w:r>
    </w:p>
    <w:p w:rsidR="00A170B9" w:rsidRPr="0021651A" w:rsidRDefault="00A170B9" w:rsidP="00804A93">
      <w:pPr>
        <w:pStyle w:val="ECCBulletsLv1"/>
      </w:pPr>
      <w:r w:rsidRPr="0021651A">
        <w:t>24.45-27.5 GHz, 40-40.5 GHz, 42.5-43.5 GHz, 45.5-47 GHz, 47.2-48.2 GHz, 66-71 GHz, which are identified for IMT and might be used by stations with AAS, and</w:t>
      </w:r>
    </w:p>
    <w:p w:rsidR="001F25AF" w:rsidRDefault="00A170B9" w:rsidP="00A440EC">
      <w:pPr>
        <w:pStyle w:val="ECCBulletsLv1"/>
      </w:pPr>
      <w:r w:rsidRPr="0021651A">
        <w:t>43.5-45.5, 48.2-50.2, 50.4-51.4 GHz</w:t>
      </w:r>
      <w:r w:rsidR="005443DF">
        <w:t>.</w:t>
      </w:r>
    </w:p>
    <w:p w:rsidR="006935B1" w:rsidRPr="00851A8C" w:rsidRDefault="006935B1" w:rsidP="00851A8C">
      <w:bookmarkStart w:id="1" w:name="_Hlk82099770"/>
      <w:r w:rsidRPr="00851A8C">
        <w:t xml:space="preserve">The </w:t>
      </w:r>
      <w:r w:rsidR="0038600C">
        <w:t>authors believe</w:t>
      </w:r>
      <w:r w:rsidRPr="00851A8C">
        <w:t xml:space="preserve"> that</w:t>
      </w:r>
      <w:r w:rsidR="0064462B" w:rsidRPr="00851A8C">
        <w:t>, in considering</w:t>
      </w:r>
      <w:r w:rsidR="00D14B60" w:rsidRPr="00851A8C">
        <w:t xml:space="preserve"> the development of such updates, </w:t>
      </w:r>
      <w:r w:rsidR="00CA2893" w:rsidRPr="00851A8C">
        <w:t xml:space="preserve">PT B should focus </w:t>
      </w:r>
      <w:r w:rsidR="00E61ED2">
        <w:t xml:space="preserve">only </w:t>
      </w:r>
      <w:r w:rsidR="00CA2893" w:rsidRPr="00851A8C">
        <w:t>on the band 2</w:t>
      </w:r>
      <w:r w:rsidR="00153CE6" w:rsidRPr="00851A8C">
        <w:t>4.45</w:t>
      </w:r>
      <w:r w:rsidR="00FB6BF4" w:rsidRPr="00851A8C">
        <w:t xml:space="preserve"> </w:t>
      </w:r>
      <w:r w:rsidR="008F4074" w:rsidRPr="00851A8C">
        <w:t>–</w:t>
      </w:r>
      <w:r w:rsidR="00FB6BF4" w:rsidRPr="00851A8C">
        <w:t xml:space="preserve"> </w:t>
      </w:r>
      <w:r w:rsidR="008F4074" w:rsidRPr="00851A8C">
        <w:t xml:space="preserve">27.5 GHz, parts of which did not have a </w:t>
      </w:r>
      <w:r w:rsidR="00D611FB">
        <w:t>mobile</w:t>
      </w:r>
      <w:r w:rsidR="00A7092E">
        <w:t xml:space="preserve"> service</w:t>
      </w:r>
      <w:r w:rsidR="008F4074" w:rsidRPr="00851A8C">
        <w:t xml:space="preserve"> allocation</w:t>
      </w:r>
      <w:r w:rsidR="00152A92" w:rsidRPr="00851A8C">
        <w:t xml:space="preserve"> before WRC-19</w:t>
      </w:r>
      <w:r w:rsidR="002B5161">
        <w:t xml:space="preserve">. </w:t>
      </w:r>
      <w:r w:rsidR="00415D07">
        <w:t xml:space="preserve">The </w:t>
      </w:r>
      <w:r w:rsidR="00E22305">
        <w:t>authors</w:t>
      </w:r>
      <w:r w:rsidR="001E0F7D">
        <w:t xml:space="preserve"> do not believe that the other bands should be</w:t>
      </w:r>
      <w:r w:rsidR="002679DE">
        <w:t xml:space="preserve"> </w:t>
      </w:r>
      <w:r w:rsidR="000609BF">
        <w:t>included in</w:t>
      </w:r>
      <w:r w:rsidR="002679DE">
        <w:t xml:space="preserve"> </w:t>
      </w:r>
      <w:r w:rsidR="0070777E">
        <w:t>a</w:t>
      </w:r>
      <w:r w:rsidR="00087F64">
        <w:t>n</w:t>
      </w:r>
      <w:r w:rsidR="0070777E">
        <w:t xml:space="preserve"> update</w:t>
      </w:r>
      <w:r w:rsidR="002679DE">
        <w:t xml:space="preserve"> at this stage</w:t>
      </w:r>
      <w:r w:rsidR="003A4263">
        <w:t xml:space="preserve">; they </w:t>
      </w:r>
      <w:r w:rsidR="002679DE">
        <w:t>already had a co-primary allocation before WRC-19</w:t>
      </w:r>
      <w:r w:rsidR="00160E38">
        <w:t xml:space="preserve">, </w:t>
      </w:r>
      <w:r w:rsidR="00E154EA">
        <w:t>yet no previous conference</w:t>
      </w:r>
      <w:r w:rsidR="00736AAE">
        <w:t xml:space="preserve"> </w:t>
      </w:r>
      <w:r w:rsidR="00467DD4">
        <w:t xml:space="preserve">decided to add them to </w:t>
      </w:r>
      <w:r w:rsidR="002F1FD1">
        <w:t xml:space="preserve">Article </w:t>
      </w:r>
      <w:r w:rsidR="002F1FD1" w:rsidRPr="00BF390F">
        <w:rPr>
          <w:b/>
          <w:bCs/>
        </w:rPr>
        <w:t>21</w:t>
      </w:r>
      <w:r w:rsidR="008A71FF">
        <w:t>.</w:t>
      </w:r>
    </w:p>
    <w:bookmarkEnd w:id="1"/>
    <w:p w:rsidR="00FF490B" w:rsidRPr="0021651A" w:rsidRDefault="00FF490B" w:rsidP="0021651A">
      <w:r w:rsidRPr="0021651A">
        <w:t>The following sections</w:t>
      </w:r>
      <w:r w:rsidR="00691C46">
        <w:t xml:space="preserve"> provide further information and</w:t>
      </w:r>
      <w:r w:rsidRPr="0021651A">
        <w:t xml:space="preserve"> expand on these and other issues.</w:t>
      </w:r>
    </w:p>
    <w:p w:rsidR="00EC1039" w:rsidRPr="00EC1039" w:rsidRDefault="00A41850" w:rsidP="00EC1039">
      <w:pPr>
        <w:pStyle w:val="Titre1"/>
        <w:rPr>
          <w:lang w:val="en-GB"/>
        </w:rPr>
      </w:pPr>
      <w:r>
        <w:rPr>
          <w:rStyle w:val="ECCParagraph"/>
        </w:rPr>
        <w:t>analysi</w:t>
      </w:r>
      <w:r w:rsidR="00EC1039">
        <w:rPr>
          <w:rStyle w:val="ECCParagraph"/>
        </w:rPr>
        <w:t>s of the current status</w:t>
      </w:r>
    </w:p>
    <w:p w:rsidR="00FB5025" w:rsidRDefault="00AF57F0" w:rsidP="00FB5025">
      <w:pPr>
        <w:pStyle w:val="Titre2"/>
        <w:rPr>
          <w:rStyle w:val="ECCParagraph"/>
        </w:rPr>
      </w:pPr>
      <w:r>
        <w:rPr>
          <w:rStyle w:val="ECCParagraph"/>
        </w:rPr>
        <w:t>context of document wrc-19 550</w:t>
      </w:r>
    </w:p>
    <w:p w:rsidR="00602B2B" w:rsidRPr="009D0776" w:rsidRDefault="00723EFD" w:rsidP="00602B2B">
      <w:r>
        <w:t xml:space="preserve">WRC-19 </w:t>
      </w:r>
      <w:r w:rsidRPr="00723EFD">
        <w:t xml:space="preserve">identified several bands for use by administrations wishing to implement IMT, </w:t>
      </w:r>
      <w:r w:rsidR="00BA718E" w:rsidRPr="00723EFD">
        <w:t>including 24.25</w:t>
      </w:r>
      <w:r w:rsidRPr="00723EFD">
        <w:t xml:space="preserve"> – 27.5 GHz</w:t>
      </w:r>
      <w:r>
        <w:t xml:space="preserve">, </w:t>
      </w:r>
      <w:r w:rsidRPr="00723EFD">
        <w:t>parts of 37 – 43.5 GHz</w:t>
      </w:r>
      <w:r>
        <w:t xml:space="preserve">, </w:t>
      </w:r>
      <w:r w:rsidRPr="00723EFD">
        <w:t>47.2 – 48.2 GHz and 66 – 71 GHz.</w:t>
      </w:r>
      <w:r w:rsidR="00D97D80">
        <w:t xml:space="preserve"> However, </w:t>
      </w:r>
      <w:r w:rsidR="00602B2B" w:rsidRPr="00602B2B">
        <w:t xml:space="preserve">WRC-19 did not introduce any changes to Article </w:t>
      </w:r>
      <w:r w:rsidR="00602B2B" w:rsidRPr="00780841">
        <w:rPr>
          <w:b/>
          <w:bCs/>
        </w:rPr>
        <w:t>21</w:t>
      </w:r>
      <w:r w:rsidR="00602B2B" w:rsidRPr="00602B2B">
        <w:t>. At the end of the conference, WRC-19 did invite the ITU-R</w:t>
      </w:r>
      <w:r w:rsidR="00185DCD">
        <w:rPr>
          <w:rStyle w:val="Appelnotedebasdep"/>
        </w:rPr>
        <w:footnoteReference w:id="3"/>
      </w:r>
      <w:r w:rsidR="00602B2B" w:rsidRPr="00602B2B">
        <w:t xml:space="preserve"> to study, as a matter of urgency, the applicability of the limit specified in No. </w:t>
      </w:r>
      <w:r w:rsidR="00602B2B" w:rsidRPr="00563C2A">
        <w:rPr>
          <w:b/>
          <w:bCs/>
        </w:rPr>
        <w:t>21.5</w:t>
      </w:r>
      <w:r w:rsidR="00602B2B" w:rsidRPr="00602B2B">
        <w:t xml:space="preserve"> to IMT stations with active antennas</w:t>
      </w:r>
      <w:r w:rsidR="00014E38">
        <w:t xml:space="preserve"> operating in the band</w:t>
      </w:r>
      <w:r w:rsidR="000B5FA9">
        <w:t xml:space="preserve"> </w:t>
      </w:r>
      <w:bookmarkStart w:id="2" w:name="_Hlk82100519"/>
      <w:r w:rsidR="000B5FA9" w:rsidRPr="00602B2B">
        <w:t>24.25 – 27.5 GHz</w:t>
      </w:r>
      <w:bookmarkEnd w:id="2"/>
      <w:r w:rsidR="00602B2B" w:rsidRPr="00602B2B">
        <w:t xml:space="preserve">, with a view to recommend ways for its possible replacement or revision for such stations, as well as any necessary updates to Table </w:t>
      </w:r>
      <w:r w:rsidR="00602B2B" w:rsidRPr="0000269E">
        <w:rPr>
          <w:b/>
          <w:bCs/>
        </w:rPr>
        <w:t>21-2</w:t>
      </w:r>
      <w:r w:rsidR="00602B2B" w:rsidRPr="00602B2B">
        <w:t xml:space="preserve"> related to terrestrial and space services sharing frequency bands. </w:t>
      </w:r>
      <w:r w:rsidR="00354828">
        <w:t xml:space="preserve">CEPT has </w:t>
      </w:r>
      <w:r w:rsidR="000B5FA9">
        <w:t>agreed</w:t>
      </w:r>
      <w:r w:rsidR="00354828">
        <w:t xml:space="preserve"> </w:t>
      </w:r>
      <w:r w:rsidR="00F63A00">
        <w:t>that other bands</w:t>
      </w:r>
      <w:r w:rsidR="000B5FA9">
        <w:t xml:space="preserve"> outside of the range </w:t>
      </w:r>
      <w:r w:rsidR="000B5FA9" w:rsidRPr="000B5FA9">
        <w:t>24.25 – 27.5 GHz</w:t>
      </w:r>
      <w:r w:rsidR="00F63A00">
        <w:t xml:space="preserve"> </w:t>
      </w:r>
      <w:r w:rsidR="00B73593">
        <w:t>can also be considered</w:t>
      </w:r>
      <w:r w:rsidR="000B5FA9">
        <w:t xml:space="preserve">. </w:t>
      </w:r>
    </w:p>
    <w:p w:rsidR="00E679E2" w:rsidRDefault="001358CE" w:rsidP="008717C8">
      <w:pPr>
        <w:pStyle w:val="Titre2"/>
      </w:pPr>
      <w:r>
        <w:t>Regulation of co-primary sharing between satellite and terrestrial services</w:t>
      </w:r>
    </w:p>
    <w:p w:rsidR="00D1521C" w:rsidRPr="00CC398A" w:rsidRDefault="002A6502" w:rsidP="00C114E9">
      <w:pPr>
        <w:rPr>
          <w:lang w:val="da-DK"/>
        </w:rPr>
      </w:pPr>
      <w:r>
        <w:rPr>
          <w:lang w:val="da-DK"/>
        </w:rPr>
        <w:t>Allowing co-primary sharing between satellite and terrestrial services may require setting technical conditions that prevent</w:t>
      </w:r>
      <w:r w:rsidR="00772774">
        <w:rPr>
          <w:lang w:val="da-DK"/>
        </w:rPr>
        <w:t xml:space="preserve"> the occurence of harmful interference. </w:t>
      </w:r>
      <w:r w:rsidR="006458D5">
        <w:rPr>
          <w:lang w:val="da-DK"/>
        </w:rPr>
        <w:t>For the bands under discussions, the relevant parts of the regulation</w:t>
      </w:r>
      <w:r w:rsidR="00CC398A">
        <w:rPr>
          <w:lang w:val="da-DK"/>
        </w:rPr>
        <w:t xml:space="preserve"> to reflect such technical conditions are WRC Resolutions and Article </w:t>
      </w:r>
      <w:r w:rsidR="00CC398A" w:rsidRPr="00CC398A">
        <w:rPr>
          <w:b/>
          <w:bCs/>
          <w:lang w:val="da-DK"/>
        </w:rPr>
        <w:t>21</w:t>
      </w:r>
      <w:r w:rsidR="00CC398A">
        <w:rPr>
          <w:lang w:val="da-DK"/>
        </w:rPr>
        <w:t xml:space="preserve"> of the Radio Regulations.</w:t>
      </w:r>
    </w:p>
    <w:p w:rsidR="00551FBF" w:rsidRDefault="00551FBF" w:rsidP="00473F80">
      <w:pPr>
        <w:pStyle w:val="Titre3"/>
      </w:pPr>
      <w:r>
        <w:t>Limits in Resolutions</w:t>
      </w:r>
    </w:p>
    <w:p w:rsidR="00374891" w:rsidRPr="00374891" w:rsidRDefault="00374891" w:rsidP="00374891">
      <w:pPr>
        <w:rPr>
          <w:lang w:val="da-DK"/>
        </w:rPr>
      </w:pPr>
      <w:r>
        <w:rPr>
          <w:lang w:val="da-DK"/>
        </w:rPr>
        <w:t xml:space="preserve">WRC-19 </w:t>
      </w:r>
      <w:r w:rsidR="006C7424">
        <w:rPr>
          <w:lang w:val="da-DK"/>
        </w:rPr>
        <w:t xml:space="preserve">identified several bands for use by administrations wishing to implement IMT, and adopted several </w:t>
      </w:r>
      <w:r w:rsidR="004A5745">
        <w:rPr>
          <w:lang w:val="da-DK"/>
        </w:rPr>
        <w:t>R</w:t>
      </w:r>
      <w:r w:rsidR="006C7424">
        <w:rPr>
          <w:lang w:val="da-DK"/>
        </w:rPr>
        <w:t>esolutions</w:t>
      </w:r>
      <w:r w:rsidR="004A5745">
        <w:rPr>
          <w:lang w:val="da-DK"/>
        </w:rPr>
        <w:t xml:space="preserve"> regulating IMT use of these bands as shown in </w:t>
      </w:r>
      <w:r w:rsidR="00E05F60">
        <w:rPr>
          <w:lang w:val="da-DK"/>
        </w:rPr>
        <w:t>Table 1.</w:t>
      </w:r>
    </w:p>
    <w:p w:rsidR="00EA2DBA" w:rsidRDefault="00EA2DBA" w:rsidP="00144F27">
      <w:pPr>
        <w:pStyle w:val="Lgende"/>
      </w:pPr>
    </w:p>
    <w:p w:rsidR="00EA2DBA" w:rsidRDefault="00EA2DBA" w:rsidP="00144F27">
      <w:pPr>
        <w:pStyle w:val="Lgende"/>
      </w:pPr>
    </w:p>
    <w:p w:rsidR="00EA2DBA" w:rsidRDefault="00EA2DBA" w:rsidP="00144F27">
      <w:pPr>
        <w:pStyle w:val="Lgende"/>
      </w:pPr>
    </w:p>
    <w:p w:rsidR="00EA2DBA" w:rsidRDefault="00EA2DBA" w:rsidP="00144F27">
      <w:pPr>
        <w:pStyle w:val="Lgende"/>
      </w:pPr>
    </w:p>
    <w:p w:rsidR="00144F27" w:rsidRDefault="00144F27" w:rsidP="00144F27">
      <w:pPr>
        <w:pStyle w:val="Lgende"/>
        <w:rPr>
          <w:rStyle w:val="ECCParagraph"/>
        </w:rPr>
      </w:pPr>
      <w:r>
        <w:lastRenderedPageBreak/>
        <w:t xml:space="preserve">Table </w:t>
      </w:r>
      <w:r w:rsidR="005424D2">
        <w:fldChar w:fldCharType="begin"/>
      </w:r>
      <w:r w:rsidR="005424D2">
        <w:instrText xml:space="preserve"> SEQ Table \* ARABIC </w:instrText>
      </w:r>
      <w:r w:rsidR="005424D2">
        <w:fldChar w:fldCharType="separate"/>
      </w:r>
      <w:r>
        <w:rPr>
          <w:noProof/>
        </w:rPr>
        <w:t>1</w:t>
      </w:r>
      <w:r w:rsidR="005424D2">
        <w:rPr>
          <w:noProof/>
        </w:rPr>
        <w:fldChar w:fldCharType="end"/>
      </w:r>
      <w:r>
        <w:t>: Summary of Resolutions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bottom w:w="11" w:type="dxa"/>
        </w:tblCellMar>
        <w:tblLook w:val="01E0" w:firstRow="1" w:lastRow="1" w:firstColumn="1" w:lastColumn="1" w:noHBand="0" w:noVBand="0"/>
      </w:tblPr>
      <w:tblGrid>
        <w:gridCol w:w="1701"/>
        <w:gridCol w:w="1134"/>
        <w:gridCol w:w="1134"/>
        <w:gridCol w:w="5636"/>
      </w:tblGrid>
      <w:tr w:rsidR="0037457E" w:rsidRPr="00FE1795" w:rsidTr="00983107">
        <w:trPr>
          <w:tblHeader/>
          <w:jc w:val="center"/>
        </w:trPr>
        <w:tc>
          <w:tcPr>
            <w:tcW w:w="1701" w:type="dxa"/>
            <w:tcBorders>
              <w:top w:val="single" w:sz="4" w:space="0" w:color="D2232A"/>
              <w:left w:val="single" w:sz="4" w:space="0" w:color="D2232A"/>
              <w:bottom w:val="single" w:sz="4" w:space="0" w:color="D2232A"/>
              <w:right w:val="nil"/>
            </w:tcBorders>
            <w:shd w:val="clear" w:color="auto" w:fill="D2232A"/>
            <w:vAlign w:val="center"/>
          </w:tcPr>
          <w:p w:rsidR="00CA3D40" w:rsidRPr="002F70E6" w:rsidRDefault="00CA3D40" w:rsidP="00A440EC">
            <w:pPr>
              <w:pStyle w:val="ECCTableHeaderwhitefont"/>
              <w:rPr>
                <w:rStyle w:val="ECCHLbold"/>
              </w:rPr>
            </w:pPr>
            <w:r>
              <w:rPr>
                <w:rStyle w:val="ECCHLbold"/>
              </w:rPr>
              <w:t>Band</w:t>
            </w:r>
          </w:p>
        </w:tc>
        <w:tc>
          <w:tcPr>
            <w:tcW w:w="1134" w:type="dxa"/>
            <w:tcBorders>
              <w:top w:val="single" w:sz="4" w:space="0" w:color="D2232A"/>
              <w:left w:val="nil"/>
              <w:bottom w:val="single" w:sz="4" w:space="0" w:color="D2232A"/>
              <w:right w:val="nil"/>
            </w:tcBorders>
            <w:shd w:val="clear" w:color="auto" w:fill="D2232A"/>
          </w:tcPr>
          <w:p w:rsidR="00CA3D40" w:rsidRPr="002F70E6" w:rsidRDefault="005832B8" w:rsidP="00A440EC">
            <w:pPr>
              <w:pStyle w:val="ECCTableHeaderwhitefont"/>
              <w:rPr>
                <w:rStyle w:val="ECCHLbold"/>
              </w:rPr>
            </w:pPr>
            <w:r>
              <w:rPr>
                <w:rStyle w:val="ECCHLbold"/>
              </w:rPr>
              <w:t>No</w:t>
            </w:r>
          </w:p>
        </w:tc>
        <w:tc>
          <w:tcPr>
            <w:tcW w:w="1134" w:type="dxa"/>
            <w:tcBorders>
              <w:top w:val="single" w:sz="4" w:space="0" w:color="D2232A"/>
              <w:left w:val="nil"/>
              <w:bottom w:val="single" w:sz="4" w:space="0" w:color="D2232A"/>
              <w:right w:val="nil"/>
            </w:tcBorders>
            <w:shd w:val="clear" w:color="auto" w:fill="D2232A"/>
            <w:vAlign w:val="center"/>
          </w:tcPr>
          <w:p w:rsidR="00CA3D40" w:rsidRPr="002F70E6" w:rsidRDefault="005832B8" w:rsidP="00A440EC">
            <w:pPr>
              <w:pStyle w:val="ECCTableHeaderwhitefont"/>
              <w:rPr>
                <w:rStyle w:val="ECCHLbold"/>
              </w:rPr>
            </w:pPr>
            <w:r>
              <w:rPr>
                <w:rStyle w:val="ECCHLbold"/>
              </w:rPr>
              <w:t>Res.</w:t>
            </w:r>
          </w:p>
        </w:tc>
        <w:tc>
          <w:tcPr>
            <w:tcW w:w="5636" w:type="dxa"/>
            <w:tcBorders>
              <w:top w:val="single" w:sz="4" w:space="0" w:color="D2232A"/>
              <w:left w:val="nil"/>
              <w:bottom w:val="single" w:sz="4" w:space="0" w:color="D2232A"/>
              <w:right w:val="single" w:sz="4" w:space="0" w:color="D2232A"/>
            </w:tcBorders>
            <w:shd w:val="clear" w:color="auto" w:fill="D2232A"/>
            <w:vAlign w:val="center"/>
          </w:tcPr>
          <w:p w:rsidR="00CA3D40" w:rsidRPr="002F70E6" w:rsidRDefault="00BE5846" w:rsidP="00A440EC">
            <w:pPr>
              <w:pStyle w:val="ECCTableHeaderwhitefont"/>
              <w:rPr>
                <w:rStyle w:val="ECCHLbold"/>
              </w:rPr>
            </w:pPr>
            <w:r>
              <w:rPr>
                <w:rStyle w:val="ECCHLbold"/>
              </w:rPr>
              <w:t>Limits</w:t>
            </w:r>
            <w:r w:rsidR="00451BC9">
              <w:rPr>
                <w:rStyle w:val="ECCHLbold"/>
              </w:rPr>
              <w:t>?</w:t>
            </w:r>
          </w:p>
        </w:tc>
      </w:tr>
      <w:tr w:rsidR="00DF7C11" w:rsidTr="00983107">
        <w:trPr>
          <w:trHeight w:val="382"/>
          <w:jc w:val="center"/>
        </w:trPr>
        <w:tc>
          <w:tcPr>
            <w:tcW w:w="1701" w:type="dxa"/>
            <w:tcBorders>
              <w:top w:val="single" w:sz="4" w:space="0" w:color="D2232A"/>
              <w:left w:val="single" w:sz="4" w:space="0" w:color="D2232A"/>
              <w:bottom w:val="single" w:sz="4" w:space="0" w:color="D2232A"/>
              <w:right w:val="single" w:sz="4" w:space="0" w:color="D2232A"/>
            </w:tcBorders>
            <w:vAlign w:val="center"/>
          </w:tcPr>
          <w:p w:rsidR="00DF7C11" w:rsidRDefault="00DF7C11" w:rsidP="00A440EC">
            <w:pPr>
              <w:pStyle w:val="ECCTabletext"/>
            </w:pPr>
            <w:r>
              <w:t>42.5 – 43.5 GHz</w:t>
            </w:r>
          </w:p>
        </w:tc>
        <w:tc>
          <w:tcPr>
            <w:tcW w:w="1134" w:type="dxa"/>
            <w:tcBorders>
              <w:top w:val="single" w:sz="4" w:space="0" w:color="D2232A"/>
              <w:left w:val="single" w:sz="4" w:space="0" w:color="D2232A"/>
              <w:bottom w:val="single" w:sz="4" w:space="0" w:color="D2232A"/>
              <w:right w:val="single" w:sz="4" w:space="0" w:color="D2232A"/>
            </w:tcBorders>
          </w:tcPr>
          <w:p w:rsidR="00DF7C11" w:rsidRDefault="00DF7C11" w:rsidP="00A440EC">
            <w:pPr>
              <w:pStyle w:val="ECCTabletext"/>
            </w:pPr>
            <w:r w:rsidRPr="009124C3">
              <w:rPr>
                <w:b/>
                <w:bCs/>
              </w:rPr>
              <w:t>5.550B</w:t>
            </w:r>
          </w:p>
        </w:tc>
        <w:tc>
          <w:tcPr>
            <w:tcW w:w="1134" w:type="dxa"/>
            <w:vMerge w:val="restart"/>
            <w:tcBorders>
              <w:top w:val="single" w:sz="4" w:space="0" w:color="D2232A"/>
              <w:left w:val="single" w:sz="4" w:space="0" w:color="D2232A"/>
              <w:bottom w:val="single" w:sz="4" w:space="0" w:color="auto"/>
              <w:right w:val="single" w:sz="4" w:space="0" w:color="D2232A"/>
            </w:tcBorders>
            <w:vAlign w:val="center"/>
          </w:tcPr>
          <w:p w:rsidR="00DF7C11" w:rsidRDefault="00DF7C11" w:rsidP="00A440EC">
            <w:pPr>
              <w:pStyle w:val="ECCTabletext"/>
            </w:pPr>
            <w:r>
              <w:t xml:space="preserve">Res. </w:t>
            </w:r>
            <w:r w:rsidRPr="004974B1">
              <w:rPr>
                <w:b/>
                <w:bCs/>
              </w:rPr>
              <w:t>243</w:t>
            </w:r>
          </w:p>
        </w:tc>
        <w:tc>
          <w:tcPr>
            <w:tcW w:w="5636" w:type="dxa"/>
            <w:vMerge w:val="restart"/>
            <w:tcBorders>
              <w:top w:val="single" w:sz="4" w:space="0" w:color="D2232A"/>
              <w:left w:val="single" w:sz="4" w:space="0" w:color="D2232A"/>
              <w:bottom w:val="single" w:sz="4" w:space="0" w:color="auto"/>
              <w:right w:val="single" w:sz="4" w:space="0" w:color="D2232A"/>
            </w:tcBorders>
            <w:vAlign w:val="center"/>
          </w:tcPr>
          <w:p w:rsidR="00DF7C11" w:rsidRPr="005832B8" w:rsidRDefault="00DF7C11" w:rsidP="005F2C97">
            <w:pPr>
              <w:pStyle w:val="ECCTabletext"/>
              <w:rPr>
                <w:sz w:val="16"/>
                <w:szCs w:val="16"/>
              </w:rPr>
            </w:pPr>
            <w:r w:rsidRPr="005832B8">
              <w:rPr>
                <w:sz w:val="16"/>
                <w:szCs w:val="16"/>
              </w:rPr>
              <w:t>a) take practical measures to ensure the transmitting antennas of outdoor base stations are normally pointing below the horizon, when deploying IMT base stations within the band; the mechanical pointing needs to be at or below the horizon;</w:t>
            </w:r>
          </w:p>
          <w:p w:rsidR="00DF7C11" w:rsidRDefault="00DF7C11" w:rsidP="008716B5">
            <w:pPr>
              <w:pStyle w:val="ECCTabletext"/>
            </w:pPr>
            <w:r w:rsidRPr="005832B8">
              <w:rPr>
                <w:sz w:val="16"/>
                <w:szCs w:val="16"/>
              </w:rPr>
              <w:t xml:space="preserve">b) as far as practicable, sites for IMT base stations in the band employing values of </w:t>
            </w:r>
            <w:proofErr w:type="spellStart"/>
            <w:r w:rsidRPr="005832B8">
              <w:rPr>
                <w:sz w:val="16"/>
                <w:szCs w:val="16"/>
              </w:rPr>
              <w:t>e.i.r.p</w:t>
            </w:r>
            <w:proofErr w:type="spellEnd"/>
            <w:r w:rsidRPr="005832B8">
              <w:rPr>
                <w:sz w:val="16"/>
                <w:szCs w:val="16"/>
              </w:rPr>
              <w:t>. per beam exceeding 30 dB(W/200 MHz) should be selected so that the direction of maximum radiation of any antenna will be separated from the geostationary-satellite orbit, within line-of-sight of the IMT base station, by ±7.5 degrees;</w:t>
            </w:r>
          </w:p>
        </w:tc>
      </w:tr>
      <w:tr w:rsidR="00DF7C11" w:rsidTr="00983107">
        <w:trPr>
          <w:jc w:val="center"/>
        </w:trPr>
        <w:tc>
          <w:tcPr>
            <w:tcW w:w="1701" w:type="dxa"/>
            <w:tcBorders>
              <w:top w:val="single" w:sz="4" w:space="0" w:color="D2232A"/>
              <w:left w:val="single" w:sz="4" w:space="0" w:color="D2232A"/>
              <w:bottom w:val="single" w:sz="4" w:space="0" w:color="D2232A"/>
              <w:right w:val="single" w:sz="4" w:space="0" w:color="D2232A"/>
            </w:tcBorders>
            <w:vAlign w:val="center"/>
          </w:tcPr>
          <w:p w:rsidR="00DF7C11" w:rsidRDefault="00DF7C11" w:rsidP="00A440EC">
            <w:pPr>
              <w:pStyle w:val="ECCTabletext"/>
            </w:pPr>
            <w:r>
              <w:t>47.2 – 48.2 GHz</w:t>
            </w:r>
          </w:p>
        </w:tc>
        <w:tc>
          <w:tcPr>
            <w:tcW w:w="1134" w:type="dxa"/>
            <w:tcBorders>
              <w:top w:val="single" w:sz="4" w:space="0" w:color="D2232A"/>
              <w:left w:val="single" w:sz="4" w:space="0" w:color="D2232A"/>
              <w:bottom w:val="single" w:sz="4" w:space="0" w:color="D2232A"/>
              <w:right w:val="single" w:sz="4" w:space="0" w:color="D2232A"/>
            </w:tcBorders>
          </w:tcPr>
          <w:p w:rsidR="00DF7C11" w:rsidRDefault="00DF7C11" w:rsidP="0000168D">
            <w:pPr>
              <w:pStyle w:val="ECCTabletext"/>
            </w:pPr>
            <w:r w:rsidRPr="00EE1BE1">
              <w:rPr>
                <w:b/>
                <w:bCs/>
              </w:rPr>
              <w:t>5.553B</w:t>
            </w:r>
          </w:p>
        </w:tc>
        <w:tc>
          <w:tcPr>
            <w:tcW w:w="1134" w:type="dxa"/>
            <w:vMerge/>
            <w:tcBorders>
              <w:left w:val="single" w:sz="4" w:space="0" w:color="D2232A"/>
              <w:bottom w:val="single" w:sz="4" w:space="0" w:color="D2232A"/>
              <w:right w:val="single" w:sz="4" w:space="0" w:color="D2232A"/>
            </w:tcBorders>
            <w:vAlign w:val="center"/>
          </w:tcPr>
          <w:p w:rsidR="00DF7C11" w:rsidRDefault="00DF7C11" w:rsidP="00A440EC">
            <w:pPr>
              <w:pStyle w:val="ECCTabletext"/>
            </w:pPr>
          </w:p>
        </w:tc>
        <w:tc>
          <w:tcPr>
            <w:tcW w:w="5636" w:type="dxa"/>
            <w:vMerge/>
            <w:tcBorders>
              <w:left w:val="single" w:sz="4" w:space="0" w:color="D2232A"/>
              <w:bottom w:val="single" w:sz="4" w:space="0" w:color="D2232A"/>
              <w:right w:val="single" w:sz="4" w:space="0" w:color="D2232A"/>
            </w:tcBorders>
            <w:vAlign w:val="center"/>
          </w:tcPr>
          <w:p w:rsidR="00DF7C11" w:rsidRDefault="00DF7C11" w:rsidP="00A440EC">
            <w:pPr>
              <w:pStyle w:val="ECCTabletext"/>
            </w:pPr>
          </w:p>
        </w:tc>
      </w:tr>
      <w:tr w:rsidR="00600117" w:rsidTr="00983107">
        <w:trPr>
          <w:jc w:val="center"/>
        </w:trPr>
        <w:tc>
          <w:tcPr>
            <w:tcW w:w="1701" w:type="dxa"/>
            <w:tcBorders>
              <w:top w:val="single" w:sz="4" w:space="0" w:color="D2232A"/>
              <w:left w:val="single" w:sz="4" w:space="0" w:color="D2232A"/>
              <w:bottom w:val="single" w:sz="4" w:space="0" w:color="D2232A"/>
              <w:right w:val="single" w:sz="4" w:space="0" w:color="D2232A"/>
            </w:tcBorders>
            <w:vAlign w:val="center"/>
          </w:tcPr>
          <w:p w:rsidR="00600117" w:rsidRDefault="00600117" w:rsidP="00A440EC">
            <w:pPr>
              <w:pStyle w:val="ECCTabletext"/>
            </w:pPr>
            <w:r>
              <w:t>45.5 – 47 GHz</w:t>
            </w:r>
          </w:p>
        </w:tc>
        <w:tc>
          <w:tcPr>
            <w:tcW w:w="1134" w:type="dxa"/>
            <w:tcBorders>
              <w:top w:val="single" w:sz="4" w:space="0" w:color="D2232A"/>
              <w:left w:val="single" w:sz="4" w:space="0" w:color="D2232A"/>
              <w:bottom w:val="single" w:sz="4" w:space="0" w:color="D2232A"/>
              <w:right w:val="single" w:sz="4" w:space="0" w:color="D2232A"/>
            </w:tcBorders>
          </w:tcPr>
          <w:p w:rsidR="00600117" w:rsidRPr="003A5B3E" w:rsidRDefault="00255338" w:rsidP="0000168D">
            <w:pPr>
              <w:pStyle w:val="ECCTabletext"/>
              <w:rPr>
                <w:b/>
                <w:bCs/>
              </w:rPr>
            </w:pPr>
            <w:r w:rsidRPr="00255338">
              <w:rPr>
                <w:b/>
                <w:bCs/>
              </w:rPr>
              <w:t>5.553A</w:t>
            </w:r>
          </w:p>
        </w:tc>
        <w:tc>
          <w:tcPr>
            <w:tcW w:w="1134" w:type="dxa"/>
            <w:tcBorders>
              <w:top w:val="single" w:sz="4" w:space="0" w:color="D2232A"/>
              <w:left w:val="single" w:sz="4" w:space="0" w:color="D2232A"/>
              <w:bottom w:val="single" w:sz="4" w:space="0" w:color="D2232A"/>
              <w:right w:val="single" w:sz="4" w:space="0" w:color="D2232A"/>
            </w:tcBorders>
            <w:vAlign w:val="center"/>
          </w:tcPr>
          <w:p w:rsidR="00600117" w:rsidRDefault="00600117" w:rsidP="00A440EC">
            <w:pPr>
              <w:pStyle w:val="ECCTabletext"/>
            </w:pPr>
            <w:r>
              <w:t xml:space="preserve">Res. </w:t>
            </w:r>
            <w:r w:rsidRPr="00600117">
              <w:rPr>
                <w:b/>
                <w:bCs/>
              </w:rPr>
              <w:t>244</w:t>
            </w:r>
          </w:p>
        </w:tc>
        <w:tc>
          <w:tcPr>
            <w:tcW w:w="5636" w:type="dxa"/>
            <w:tcBorders>
              <w:top w:val="single" w:sz="4" w:space="0" w:color="D2232A"/>
              <w:left w:val="single" w:sz="4" w:space="0" w:color="D2232A"/>
              <w:bottom w:val="single" w:sz="4" w:space="0" w:color="D2232A"/>
              <w:right w:val="single" w:sz="4" w:space="0" w:color="D2232A"/>
            </w:tcBorders>
            <w:vAlign w:val="center"/>
          </w:tcPr>
          <w:p w:rsidR="00600117" w:rsidRDefault="00DE1CF3" w:rsidP="00A440EC">
            <w:pPr>
              <w:pStyle w:val="ECCTabletext"/>
            </w:pPr>
            <w:r>
              <w:t>NO</w:t>
            </w:r>
          </w:p>
        </w:tc>
      </w:tr>
      <w:tr w:rsidR="005832B8" w:rsidTr="00983107">
        <w:trPr>
          <w:jc w:val="center"/>
        </w:trPr>
        <w:tc>
          <w:tcPr>
            <w:tcW w:w="1701" w:type="dxa"/>
            <w:tcBorders>
              <w:top w:val="single" w:sz="4" w:space="0" w:color="D2232A"/>
              <w:left w:val="single" w:sz="4" w:space="0" w:color="D2232A"/>
              <w:bottom w:val="single" w:sz="4" w:space="0" w:color="D2232A"/>
              <w:right w:val="single" w:sz="4" w:space="0" w:color="D2232A"/>
            </w:tcBorders>
            <w:vAlign w:val="center"/>
          </w:tcPr>
          <w:p w:rsidR="0000168D" w:rsidRDefault="00922201" w:rsidP="00A440EC">
            <w:pPr>
              <w:pStyle w:val="ECCTabletext"/>
            </w:pPr>
            <w:r>
              <w:t>66 – 71 GHz</w:t>
            </w:r>
          </w:p>
        </w:tc>
        <w:tc>
          <w:tcPr>
            <w:tcW w:w="1134" w:type="dxa"/>
            <w:tcBorders>
              <w:top w:val="single" w:sz="4" w:space="0" w:color="D2232A"/>
              <w:left w:val="single" w:sz="4" w:space="0" w:color="D2232A"/>
              <w:bottom w:val="single" w:sz="4" w:space="0" w:color="D2232A"/>
              <w:right w:val="single" w:sz="4" w:space="0" w:color="D2232A"/>
            </w:tcBorders>
          </w:tcPr>
          <w:p w:rsidR="0000168D" w:rsidRPr="00EE1BE1" w:rsidRDefault="00D73228" w:rsidP="0000168D">
            <w:pPr>
              <w:pStyle w:val="ECCTabletext"/>
            </w:pPr>
            <w:r w:rsidRPr="003A5B3E">
              <w:rPr>
                <w:b/>
                <w:bCs/>
              </w:rPr>
              <w:t>5.559AA</w:t>
            </w:r>
          </w:p>
        </w:tc>
        <w:tc>
          <w:tcPr>
            <w:tcW w:w="1134" w:type="dxa"/>
            <w:tcBorders>
              <w:top w:val="single" w:sz="4" w:space="0" w:color="D2232A"/>
              <w:left w:val="single" w:sz="4" w:space="0" w:color="D2232A"/>
              <w:bottom w:val="single" w:sz="4" w:space="0" w:color="D2232A"/>
              <w:right w:val="single" w:sz="4" w:space="0" w:color="D2232A"/>
            </w:tcBorders>
            <w:vAlign w:val="center"/>
          </w:tcPr>
          <w:p w:rsidR="0000168D" w:rsidRDefault="00A91D48" w:rsidP="00A440EC">
            <w:pPr>
              <w:pStyle w:val="ECCTabletext"/>
            </w:pPr>
            <w:r>
              <w:t xml:space="preserve">Res. </w:t>
            </w:r>
            <w:r w:rsidRPr="00A91D48">
              <w:rPr>
                <w:b/>
                <w:bCs/>
              </w:rPr>
              <w:t>241</w:t>
            </w:r>
          </w:p>
        </w:tc>
        <w:tc>
          <w:tcPr>
            <w:tcW w:w="5636" w:type="dxa"/>
            <w:tcBorders>
              <w:top w:val="single" w:sz="4" w:space="0" w:color="D2232A"/>
              <w:left w:val="single" w:sz="4" w:space="0" w:color="D2232A"/>
              <w:bottom w:val="single" w:sz="4" w:space="0" w:color="D2232A"/>
              <w:right w:val="single" w:sz="4" w:space="0" w:color="D2232A"/>
            </w:tcBorders>
            <w:vAlign w:val="center"/>
          </w:tcPr>
          <w:p w:rsidR="0000168D" w:rsidRDefault="003C61AA" w:rsidP="00A440EC">
            <w:pPr>
              <w:pStyle w:val="ECCTabletext"/>
            </w:pPr>
            <w:r>
              <w:t>N</w:t>
            </w:r>
            <w:r w:rsidR="003A7DF5">
              <w:t>O</w:t>
            </w:r>
          </w:p>
        </w:tc>
      </w:tr>
    </w:tbl>
    <w:p w:rsidR="00B04A7A" w:rsidRDefault="00711A6F" w:rsidP="00B04A7A">
      <w:r>
        <w:t>It is crucial to note that, for the</w:t>
      </w:r>
      <w:r w:rsidR="00F853A8">
        <w:t xml:space="preserve"> bands 45.5 – 47 GHz</w:t>
      </w:r>
      <w:r w:rsidR="00915DD5">
        <w:t xml:space="preserve"> and 66 – 71 GHz</w:t>
      </w:r>
      <w:r w:rsidR="003A660E">
        <w:t>, WRC-19 did not consider necessary setting any technical requirements</w:t>
      </w:r>
      <w:r w:rsidR="0032421E">
        <w:t xml:space="preserve"> to facilitate coexistence between the newly identified IMT and satellite services. </w:t>
      </w:r>
      <w:r w:rsidR="001A1513">
        <w:t xml:space="preserve">Moreover, technical studies carried out leading to WRC-19 showed that </w:t>
      </w:r>
      <w:r w:rsidR="00455E87">
        <w:t xml:space="preserve">there is </w:t>
      </w:r>
      <w:r w:rsidR="00853306">
        <w:t xml:space="preserve">a large </w:t>
      </w:r>
      <w:r w:rsidR="002F0663">
        <w:t xml:space="preserve">interference </w:t>
      </w:r>
      <w:r w:rsidR="00853306">
        <w:t>margin</w:t>
      </w:r>
      <w:r w:rsidR="002F0663">
        <w:t>,</w:t>
      </w:r>
      <w:r w:rsidR="00853306">
        <w:t xml:space="preserve"> </w:t>
      </w:r>
      <w:r w:rsidR="00DE1E09">
        <w:t>with at least</w:t>
      </w:r>
      <w:r w:rsidR="00853306">
        <w:t xml:space="preserve"> 10 dB for</w:t>
      </w:r>
      <w:r w:rsidR="00792581">
        <w:t xml:space="preserve"> all the</w:t>
      </w:r>
      <w:r w:rsidR="00853306">
        <w:t xml:space="preserve"> baseline cases </w:t>
      </w:r>
      <w:r w:rsidR="008A28FC">
        <w:t>in</w:t>
      </w:r>
      <w:r w:rsidR="000A051A">
        <w:t xml:space="preserve"> all the frequency bands</w:t>
      </w:r>
      <w:r w:rsidR="002F0663">
        <w:t>, and about 38 dB</w:t>
      </w:r>
      <w:r w:rsidR="00F82C45">
        <w:t xml:space="preserve"> in the particular case of 66 – 71 GHz.</w:t>
      </w:r>
    </w:p>
    <w:p w:rsidR="00551FBF" w:rsidRDefault="00551FBF" w:rsidP="00D45A00">
      <w:pPr>
        <w:pStyle w:val="Titre3"/>
      </w:pPr>
      <w:r w:rsidRPr="00D45A00">
        <w:t>Limits</w:t>
      </w:r>
      <w:r>
        <w:t xml:space="preserve"> in Article 21</w:t>
      </w:r>
    </w:p>
    <w:p w:rsidR="003943E4" w:rsidRPr="003943E4" w:rsidRDefault="003943E4" w:rsidP="003943E4">
      <w:pPr>
        <w:rPr>
          <w:lang w:val="da-DK"/>
        </w:rPr>
      </w:pPr>
      <w:r w:rsidRPr="003943E4">
        <w:rPr>
          <w:lang w:val="da-DK"/>
        </w:rPr>
        <w:t xml:space="preserve">Additionally, Article </w:t>
      </w:r>
      <w:r w:rsidRPr="003943E4">
        <w:rPr>
          <w:b/>
          <w:bCs/>
          <w:lang w:val="da-DK"/>
        </w:rPr>
        <w:t>21</w:t>
      </w:r>
      <w:r w:rsidRPr="003943E4">
        <w:rPr>
          <w:lang w:val="da-DK"/>
        </w:rPr>
        <w:t xml:space="preserve"> imposes some limits to terrestrial and space stations to enable coexistence in bands that are shared </w:t>
      </w:r>
      <w:r w:rsidR="000D22F6">
        <w:rPr>
          <w:lang w:val="da-DK"/>
        </w:rPr>
        <w:t>on a co-primary basis</w:t>
      </w:r>
      <w:r w:rsidRPr="003943E4">
        <w:rPr>
          <w:lang w:val="da-DK"/>
        </w:rPr>
        <w:t>. These limits are used by the Bureau when examining notifications for possible inclusion in the Master Register.</w:t>
      </w:r>
    </w:p>
    <w:p w:rsidR="003943E4" w:rsidRPr="003943E4" w:rsidRDefault="003943E4" w:rsidP="005C5CCC">
      <w:pPr>
        <w:pStyle w:val="ECCNumberedList"/>
        <w:rPr>
          <w:lang w:val="da-DK"/>
        </w:rPr>
      </w:pPr>
      <w:r w:rsidRPr="003943E4">
        <w:rPr>
          <w:lang w:val="da-DK"/>
        </w:rPr>
        <w:t xml:space="preserve">For space stations, No. </w:t>
      </w:r>
      <w:r w:rsidRPr="000D22F6">
        <w:rPr>
          <w:b/>
          <w:bCs/>
          <w:lang w:val="da-DK"/>
        </w:rPr>
        <w:t>21.16</w:t>
      </w:r>
      <w:r w:rsidRPr="003943E4">
        <w:rPr>
          <w:lang w:val="da-DK"/>
        </w:rPr>
        <w:t xml:space="preserve"> imposes power flux density limits to those bands in Table </w:t>
      </w:r>
      <w:r w:rsidRPr="000D22F6">
        <w:rPr>
          <w:b/>
          <w:bCs/>
          <w:lang w:val="da-DK"/>
        </w:rPr>
        <w:t>21-4</w:t>
      </w:r>
      <w:r w:rsidRPr="003943E4">
        <w:rPr>
          <w:lang w:val="da-DK"/>
        </w:rPr>
        <w:t>.</w:t>
      </w:r>
    </w:p>
    <w:p w:rsidR="00150DBA" w:rsidRDefault="003943E4" w:rsidP="005C5CCC">
      <w:pPr>
        <w:pStyle w:val="ECCNumberedList"/>
        <w:rPr>
          <w:lang w:val="da-DK"/>
        </w:rPr>
      </w:pPr>
      <w:r w:rsidRPr="003943E4">
        <w:rPr>
          <w:lang w:val="da-DK"/>
        </w:rPr>
        <w:t xml:space="preserve">For terrestrial stations, Nos. </w:t>
      </w:r>
      <w:r w:rsidRPr="00C5308B">
        <w:rPr>
          <w:b/>
          <w:bCs/>
          <w:lang w:val="da-DK"/>
        </w:rPr>
        <w:t>21.2</w:t>
      </w:r>
      <w:r w:rsidRPr="003943E4">
        <w:rPr>
          <w:lang w:val="da-DK"/>
        </w:rPr>
        <w:t xml:space="preserve"> to </w:t>
      </w:r>
      <w:r w:rsidRPr="00C5308B">
        <w:rPr>
          <w:b/>
          <w:bCs/>
          <w:lang w:val="da-DK"/>
        </w:rPr>
        <w:t>21.5A</w:t>
      </w:r>
      <w:r w:rsidRPr="003943E4">
        <w:rPr>
          <w:lang w:val="da-DK"/>
        </w:rPr>
        <w:t xml:space="preserve"> set some power or EIRP limits for bands indicated in Table </w:t>
      </w:r>
      <w:r w:rsidRPr="00C5308B">
        <w:rPr>
          <w:b/>
          <w:bCs/>
          <w:lang w:val="da-DK"/>
        </w:rPr>
        <w:t>21-2</w:t>
      </w:r>
      <w:r w:rsidRPr="003943E4">
        <w:rPr>
          <w:lang w:val="da-DK"/>
        </w:rPr>
        <w:t xml:space="preserve">, which currently does not list the band </w:t>
      </w:r>
      <w:r w:rsidR="00C316A0">
        <w:rPr>
          <w:lang w:val="da-DK"/>
        </w:rPr>
        <w:t>25.25 – 27.5 GHz</w:t>
      </w:r>
      <w:r w:rsidRPr="003943E4">
        <w:rPr>
          <w:lang w:val="da-DK"/>
        </w:rPr>
        <w:t>, 42.5 – 43.5 GHz or 66 – 71 GHz.</w:t>
      </w:r>
    </w:p>
    <w:p w:rsidR="001B3649" w:rsidRDefault="001B3649" w:rsidP="001B3649">
      <w:pPr>
        <w:pStyle w:val="ECCNumberedList"/>
        <w:numPr>
          <w:ilvl w:val="0"/>
          <w:numId w:val="0"/>
        </w:numPr>
        <w:rPr>
          <w:lang w:val="da-DK"/>
        </w:rPr>
      </w:pPr>
      <w:r>
        <w:rPr>
          <w:lang w:val="da-DK"/>
        </w:rPr>
        <w:t xml:space="preserve">The notification of terrestrial stations is an important process for many administrations. </w:t>
      </w:r>
      <w:r w:rsidRPr="001B3649">
        <w:rPr>
          <w:lang w:val="da-DK"/>
        </w:rPr>
        <w:t xml:space="preserve">Upon reception of a notification, the Bureau will examine it with respect to its conformity with the relevant provisions of the Radio Regulations. Frequency assignments that receive a favourable finding are recorded in the Master Register. </w:t>
      </w:r>
      <w:r w:rsidR="009369EB">
        <w:rPr>
          <w:lang w:val="da-DK"/>
        </w:rPr>
        <w:t xml:space="preserve"> This is important because, a</w:t>
      </w:r>
      <w:r w:rsidRPr="001B3649">
        <w:rPr>
          <w:lang w:val="da-DK"/>
        </w:rPr>
        <w:t xml:space="preserve">ccording to No. </w:t>
      </w:r>
      <w:r w:rsidRPr="009369EB">
        <w:rPr>
          <w:b/>
          <w:bCs/>
          <w:lang w:val="da-DK"/>
        </w:rPr>
        <w:t>8.3</w:t>
      </w:r>
      <w:r w:rsidRPr="001B3649">
        <w:rPr>
          <w:lang w:val="da-DK"/>
        </w:rPr>
        <w:t xml:space="preserve">, any frequency assignment recorded in the Master Register with a favourable finding under No. </w:t>
      </w:r>
      <w:r w:rsidRPr="009369EB">
        <w:rPr>
          <w:b/>
          <w:bCs/>
          <w:lang w:val="da-DK"/>
        </w:rPr>
        <w:t>11.31</w:t>
      </w:r>
      <w:r w:rsidRPr="001B3649">
        <w:rPr>
          <w:lang w:val="da-DK"/>
        </w:rPr>
        <w:t xml:space="preserve"> shall have the right to international recognition</w:t>
      </w:r>
      <w:r w:rsidR="00A841B7">
        <w:rPr>
          <w:lang w:val="da-DK"/>
        </w:rPr>
        <w:t xml:space="preserve">, which </w:t>
      </w:r>
      <w:r w:rsidRPr="001B3649">
        <w:rPr>
          <w:lang w:val="da-DK"/>
        </w:rPr>
        <w:t>means that other administrations shall take it into account when making their own assignments, in order to avoid harmful interference.</w:t>
      </w:r>
    </w:p>
    <w:p w:rsidR="00C55032" w:rsidRDefault="008B4271" w:rsidP="001B3649">
      <w:pPr>
        <w:pStyle w:val="ECCNumberedList"/>
        <w:numPr>
          <w:ilvl w:val="0"/>
          <w:numId w:val="0"/>
        </w:numPr>
        <w:rPr>
          <w:lang w:val="da-DK"/>
        </w:rPr>
      </w:pPr>
      <w:r>
        <w:rPr>
          <w:lang w:val="da-DK"/>
        </w:rPr>
        <w:t xml:space="preserve">The </w:t>
      </w:r>
      <w:r w:rsidR="0038600C">
        <w:rPr>
          <w:lang w:val="da-DK"/>
        </w:rPr>
        <w:t>authors acknowledge</w:t>
      </w:r>
      <w:r>
        <w:rPr>
          <w:lang w:val="da-DK"/>
        </w:rPr>
        <w:t xml:space="preserve"> that </w:t>
      </w:r>
      <w:r w:rsidR="00553C0B">
        <w:rPr>
          <w:lang w:val="da-DK"/>
        </w:rPr>
        <w:t>the only band</w:t>
      </w:r>
      <w:r w:rsidR="00BD4E5F">
        <w:rPr>
          <w:lang w:val="da-DK"/>
        </w:rPr>
        <w:t xml:space="preserve"> cited in Section 1 </w:t>
      </w:r>
      <w:r w:rsidR="00CC0FBA">
        <w:rPr>
          <w:lang w:val="da-DK"/>
        </w:rPr>
        <w:t>that is</w:t>
      </w:r>
      <w:r w:rsidR="00BD4E5F">
        <w:rPr>
          <w:lang w:val="da-DK"/>
        </w:rPr>
        <w:t xml:space="preserve"> currently listed in </w:t>
      </w:r>
      <w:r w:rsidR="00EF355E">
        <w:rPr>
          <w:lang w:val="da-DK"/>
        </w:rPr>
        <w:t xml:space="preserve">Table </w:t>
      </w:r>
      <w:r w:rsidR="00EF355E" w:rsidRPr="00EF355E">
        <w:rPr>
          <w:b/>
          <w:bCs/>
          <w:lang w:val="da-DK"/>
        </w:rPr>
        <w:t>21-2</w:t>
      </w:r>
      <w:r w:rsidR="00CC0FBA">
        <w:rPr>
          <w:b/>
          <w:bCs/>
          <w:lang w:val="da-DK"/>
        </w:rPr>
        <w:t xml:space="preserve"> </w:t>
      </w:r>
      <w:r w:rsidR="00CC0FBA">
        <w:rPr>
          <w:lang w:val="da-DK"/>
        </w:rPr>
        <w:t xml:space="preserve">is the band 25.25 </w:t>
      </w:r>
      <w:r w:rsidR="00C27240">
        <w:rPr>
          <w:lang w:val="da-DK"/>
        </w:rPr>
        <w:t>–</w:t>
      </w:r>
      <w:r w:rsidR="00CC0FBA">
        <w:rPr>
          <w:lang w:val="da-DK"/>
        </w:rPr>
        <w:t xml:space="preserve"> </w:t>
      </w:r>
      <w:r w:rsidR="00C27240">
        <w:rPr>
          <w:lang w:val="da-DK"/>
        </w:rPr>
        <w:t>2</w:t>
      </w:r>
      <w:r w:rsidR="00A7298C">
        <w:rPr>
          <w:lang w:val="da-DK"/>
        </w:rPr>
        <w:t>7</w:t>
      </w:r>
      <w:r w:rsidR="00C27240">
        <w:rPr>
          <w:lang w:val="da-DK"/>
        </w:rPr>
        <w:t>.5</w:t>
      </w:r>
      <w:r w:rsidR="00A7298C">
        <w:rPr>
          <w:lang w:val="da-DK"/>
        </w:rPr>
        <w:t xml:space="preserve"> GHz.</w:t>
      </w:r>
      <w:r w:rsidR="00EF355E">
        <w:rPr>
          <w:b/>
          <w:bCs/>
          <w:lang w:val="da-DK"/>
        </w:rPr>
        <w:t xml:space="preserve"> </w:t>
      </w:r>
      <w:r w:rsidR="00EF355E">
        <w:rPr>
          <w:lang w:val="da-DK"/>
        </w:rPr>
        <w:t>This means that</w:t>
      </w:r>
      <w:r w:rsidR="00A7298C">
        <w:rPr>
          <w:lang w:val="da-DK"/>
        </w:rPr>
        <w:t>, for the other bands,</w:t>
      </w:r>
      <w:r w:rsidR="00EF355E">
        <w:rPr>
          <w:lang w:val="da-DK"/>
        </w:rPr>
        <w:t xml:space="preserve"> the </w:t>
      </w:r>
      <w:r w:rsidR="00F02FD4">
        <w:rPr>
          <w:lang w:val="da-DK"/>
        </w:rPr>
        <w:t>Bureau</w:t>
      </w:r>
      <w:r w:rsidR="00ED1C17">
        <w:rPr>
          <w:lang w:val="da-DK"/>
        </w:rPr>
        <w:t xml:space="preserve"> will not verify any power limit in Article </w:t>
      </w:r>
      <w:r w:rsidR="00ED1C17">
        <w:rPr>
          <w:b/>
          <w:bCs/>
          <w:lang w:val="da-DK"/>
        </w:rPr>
        <w:t xml:space="preserve">21 </w:t>
      </w:r>
      <w:r w:rsidR="00ED1C17">
        <w:rPr>
          <w:lang w:val="da-DK"/>
        </w:rPr>
        <w:t xml:space="preserve">when </w:t>
      </w:r>
      <w:r w:rsidR="00065F0C">
        <w:rPr>
          <w:lang w:val="da-DK"/>
        </w:rPr>
        <w:t xml:space="preserve">examining </w:t>
      </w:r>
      <w:r w:rsidR="003B4FAA">
        <w:rPr>
          <w:lang w:val="da-DK"/>
        </w:rPr>
        <w:t>the</w:t>
      </w:r>
      <w:r w:rsidR="00065F0C">
        <w:rPr>
          <w:lang w:val="da-DK"/>
        </w:rPr>
        <w:t xml:space="preserve"> notification</w:t>
      </w:r>
      <w:r w:rsidR="003B4FAA">
        <w:rPr>
          <w:lang w:val="da-DK"/>
        </w:rPr>
        <w:t xml:space="preserve"> in those bands</w:t>
      </w:r>
      <w:r w:rsidR="00065F0C">
        <w:rPr>
          <w:lang w:val="da-DK"/>
        </w:rPr>
        <w:t xml:space="preserve">. </w:t>
      </w:r>
      <w:r w:rsidR="00C55032">
        <w:rPr>
          <w:lang w:val="da-DK"/>
        </w:rPr>
        <w:t xml:space="preserve">As a consequence, </w:t>
      </w:r>
      <w:r w:rsidR="00FE46A3">
        <w:rPr>
          <w:lang w:val="da-DK"/>
        </w:rPr>
        <w:t xml:space="preserve">and in line with WRC-19 Doc 550, the </w:t>
      </w:r>
      <w:r w:rsidR="00122079">
        <w:rPr>
          <w:lang w:val="da-DK"/>
        </w:rPr>
        <w:t>authors</w:t>
      </w:r>
      <w:r w:rsidR="00FE46A3">
        <w:rPr>
          <w:lang w:val="da-DK"/>
        </w:rPr>
        <w:t xml:space="preserve"> support</w:t>
      </w:r>
      <w:r w:rsidR="00A93E1F">
        <w:rPr>
          <w:lang w:val="da-DK"/>
        </w:rPr>
        <w:t xml:space="preserve"> updating </w:t>
      </w:r>
      <w:r w:rsidR="00DF0A4A">
        <w:rPr>
          <w:lang w:val="da-DK"/>
        </w:rPr>
        <w:t>the Table to include</w:t>
      </w:r>
      <w:r w:rsidR="00D72B1F">
        <w:rPr>
          <w:lang w:val="da-DK"/>
        </w:rPr>
        <w:t xml:space="preserve"> the relevant parts</w:t>
      </w:r>
      <w:r w:rsidR="00E45E10">
        <w:rPr>
          <w:lang w:val="da-DK"/>
        </w:rPr>
        <w:t xml:space="preserve"> of the 26 GHz band, which did not have a mobile allocation before WRC-19 and</w:t>
      </w:r>
      <w:r w:rsidR="00C30CD3">
        <w:rPr>
          <w:lang w:val="da-DK"/>
        </w:rPr>
        <w:t xml:space="preserve"> were identified for administrations wishing to </w:t>
      </w:r>
      <w:r w:rsidR="00046DD4">
        <w:rPr>
          <w:lang w:val="da-DK"/>
        </w:rPr>
        <w:t>implement IMT.</w:t>
      </w:r>
    </w:p>
    <w:p w:rsidR="008B4271" w:rsidRDefault="001859B9" w:rsidP="001B3649">
      <w:pPr>
        <w:pStyle w:val="ECCNumberedList"/>
        <w:numPr>
          <w:ilvl w:val="0"/>
          <w:numId w:val="0"/>
        </w:numPr>
      </w:pPr>
      <w:r>
        <w:rPr>
          <w:lang w:val="da-DK"/>
        </w:rPr>
        <w:t>However</w:t>
      </w:r>
      <w:r w:rsidR="001A5E98">
        <w:rPr>
          <w:lang w:val="da-DK"/>
        </w:rPr>
        <w:t>, and a</w:t>
      </w:r>
      <w:r w:rsidR="00992DD7">
        <w:rPr>
          <w:lang w:val="da-DK"/>
        </w:rPr>
        <w:t xml:space="preserve">s mentioned above, </w:t>
      </w:r>
      <w:r w:rsidR="00C6741B">
        <w:rPr>
          <w:lang w:val="da-DK"/>
        </w:rPr>
        <w:t>in</w:t>
      </w:r>
      <w:r w:rsidR="003B5AAC">
        <w:rPr>
          <w:lang w:val="da-DK"/>
        </w:rPr>
        <w:t xml:space="preserve"> the bands</w:t>
      </w:r>
      <w:r w:rsidR="003B5AAC">
        <w:t xml:space="preserve"> 42.5 – 43.5 GHz and 47.2 – 48.2 GHz</w:t>
      </w:r>
      <w:r w:rsidR="00C91FD0">
        <w:t xml:space="preserve"> </w:t>
      </w:r>
      <w:r w:rsidR="00C6741B">
        <w:t>the relevant resolutions</w:t>
      </w:r>
      <w:r w:rsidR="0088464B">
        <w:t xml:space="preserve"> already</w:t>
      </w:r>
      <w:r w:rsidR="00C6741B">
        <w:t xml:space="preserve"> prescribe technical conditions for </w:t>
      </w:r>
      <w:r w:rsidR="001F5130">
        <w:t xml:space="preserve">IMT stations. On the other hand, previous conferences did not deem necessary to </w:t>
      </w:r>
      <w:r w:rsidR="006A6564">
        <w:t xml:space="preserve">set such technical conditions for other bands like </w:t>
      </w:r>
      <w:r w:rsidR="006A6564" w:rsidRPr="006A6564">
        <w:t>45.5 – 47 GHz</w:t>
      </w:r>
      <w:r w:rsidR="006A6564">
        <w:t xml:space="preserve"> and </w:t>
      </w:r>
      <w:r w:rsidR="006A6564" w:rsidRPr="006A6564">
        <w:t>66 – 71 GHz</w:t>
      </w:r>
      <w:r w:rsidR="006E0347">
        <w:t xml:space="preserve">. </w:t>
      </w:r>
      <w:r w:rsidR="00DB55B6">
        <w:t>Therefore,</w:t>
      </w:r>
      <w:r w:rsidR="006E0347">
        <w:t xml:space="preserve"> further evidence is needed in order to justify the possibility of interference to satellite receivers in these bands.</w:t>
      </w:r>
    </w:p>
    <w:p w:rsidR="002C4C74" w:rsidRPr="00ED1C17" w:rsidRDefault="002C4C74" w:rsidP="001B3649">
      <w:pPr>
        <w:pStyle w:val="ECCNumberedList"/>
        <w:numPr>
          <w:ilvl w:val="0"/>
          <w:numId w:val="0"/>
        </w:numPr>
        <w:rPr>
          <w:lang w:val="da-DK"/>
        </w:rPr>
      </w:pPr>
      <w:r>
        <w:t>For these reasons</w:t>
      </w:r>
      <w:r w:rsidR="007C4C03">
        <w:t xml:space="preserve">, the </w:t>
      </w:r>
      <w:r w:rsidR="0038600C">
        <w:t>authors</w:t>
      </w:r>
      <w:r w:rsidR="007C4C03">
        <w:t xml:space="preserve"> </w:t>
      </w:r>
      <w:r w:rsidR="007C4C03" w:rsidRPr="007C4C03">
        <w:t xml:space="preserve">believe that co-primary allocation to satellite services and terrestrial services is not sufficient condition for a band to be included to Table </w:t>
      </w:r>
      <w:r w:rsidR="007C4C03" w:rsidRPr="004B38D1">
        <w:rPr>
          <w:b/>
          <w:bCs/>
        </w:rPr>
        <w:t>21-2</w:t>
      </w:r>
      <w:r w:rsidR="00497BDA">
        <w:t xml:space="preserve">, </w:t>
      </w:r>
      <w:r w:rsidR="00497BDA" w:rsidRPr="00497BDA">
        <w:t xml:space="preserve">that the decisions of previous World Radiocommunication Conferences must be respected, and </w:t>
      </w:r>
      <w:r w:rsidR="002A07FC">
        <w:t>the scope</w:t>
      </w:r>
      <w:r w:rsidR="00B55579">
        <w:t xml:space="preserve"> of </w:t>
      </w:r>
      <w:r w:rsidR="0063025E">
        <w:t xml:space="preserve">Doc 550 is not sufficiently clear or detailed to </w:t>
      </w:r>
      <w:r w:rsidR="00AE5B6C">
        <w:t>support the inclusion of bands</w:t>
      </w:r>
      <w:r w:rsidR="00F3505C">
        <w:t xml:space="preserve"> which already had a co-primary allocation before WRC-19.</w:t>
      </w:r>
    </w:p>
    <w:p w:rsidR="007D6E91" w:rsidRDefault="007D6E91" w:rsidP="007D6E91">
      <w:pPr>
        <w:pStyle w:val="Titre1"/>
        <w:rPr>
          <w:rStyle w:val="ECCParagraph"/>
        </w:rPr>
      </w:pPr>
      <w:r>
        <w:rPr>
          <w:rStyle w:val="ECCParagraph"/>
        </w:rPr>
        <w:lastRenderedPageBreak/>
        <w:t>conclusions</w:t>
      </w:r>
    </w:p>
    <w:p w:rsidR="0090415C" w:rsidRDefault="0090415C" w:rsidP="0090415C">
      <w:r>
        <w:t xml:space="preserve">The </w:t>
      </w:r>
      <w:r w:rsidR="00122079">
        <w:t>authors</w:t>
      </w:r>
      <w:r>
        <w:t xml:space="preserve"> believe that, in considering the development of such updates, PT B should focus </w:t>
      </w:r>
      <w:r w:rsidR="002A1044">
        <w:t xml:space="preserve">only </w:t>
      </w:r>
      <w:r>
        <w:t>on the band 24.45 – 27.5 GHz, parts of which did not have a mobile service allocation before WRC-19</w:t>
      </w:r>
      <w:r w:rsidR="00505EE5">
        <w:t>, and which have been identified for use by administrations wishing to implement IMT</w:t>
      </w:r>
      <w:r>
        <w:t xml:space="preserve">. The </w:t>
      </w:r>
      <w:r w:rsidR="0038600C">
        <w:t>authors do</w:t>
      </w:r>
      <w:r>
        <w:t xml:space="preserve"> not believe that the other bands should be </w:t>
      </w:r>
      <w:r w:rsidR="00BD1993">
        <w:t>included in an update</w:t>
      </w:r>
      <w:r>
        <w:t xml:space="preserve"> at this stage.</w:t>
      </w:r>
    </w:p>
    <w:p w:rsidR="0090415C" w:rsidRDefault="00353967" w:rsidP="0090415C">
      <w:r>
        <w:t>A</w:t>
      </w:r>
      <w:r w:rsidR="0090415C">
        <w:t xml:space="preserve"> co-primary allocation to satellite services and terrestrial services is not sufficient condition for a band to be </w:t>
      </w:r>
      <w:r w:rsidR="00C46CAD">
        <w:t>added</w:t>
      </w:r>
      <w:r w:rsidR="0090415C">
        <w:t xml:space="preserve"> </w:t>
      </w:r>
      <w:r w:rsidR="00C46CAD">
        <w:t>to</w:t>
      </w:r>
      <w:r w:rsidR="0090415C">
        <w:t xml:space="preserve"> Table </w:t>
      </w:r>
      <w:r w:rsidR="0090415C" w:rsidRPr="00BF390F">
        <w:rPr>
          <w:b/>
          <w:bCs/>
        </w:rPr>
        <w:t>21-2</w:t>
      </w:r>
      <w:r w:rsidR="0090415C">
        <w:t xml:space="preserve">. </w:t>
      </w:r>
      <w:r w:rsidR="008B5681">
        <w:t>Regardless</w:t>
      </w:r>
      <w:r w:rsidR="0090415C">
        <w:t xml:space="preserve"> of whether they have an IMT allocation or not, most of the bands listed for possible inclusion already had such co-primary allocation before WRC-19</w:t>
      </w:r>
      <w:r w:rsidR="00675038">
        <w:t>.</w:t>
      </w:r>
      <w:r w:rsidR="0090415C">
        <w:t xml:space="preserve"> No previous conference ever decided to add them to Table </w:t>
      </w:r>
      <w:r w:rsidR="0090415C" w:rsidRPr="00BF390F">
        <w:rPr>
          <w:b/>
          <w:bCs/>
        </w:rPr>
        <w:t>21-2</w:t>
      </w:r>
      <w:r w:rsidR="0090415C">
        <w:t xml:space="preserve">. The </w:t>
      </w:r>
      <w:r w:rsidR="009E1045">
        <w:t>authors are</w:t>
      </w:r>
      <w:r w:rsidR="0090415C">
        <w:t xml:space="preserve"> of the view that the decisions of previous World Radiocommunication Conferences must be respected, </w:t>
      </w:r>
      <w:r w:rsidR="00AC14DB" w:rsidRPr="00946D4C">
        <w:t xml:space="preserve">and that clear and detailed scope </w:t>
      </w:r>
      <w:r w:rsidR="0090415C" w:rsidRPr="00946D4C">
        <w:t>is needed to review or update those decisions if there is an agreement that it is necessary to do so</w:t>
      </w:r>
      <w:r w:rsidR="00714C1E">
        <w:t xml:space="preserve"> at a future </w:t>
      </w:r>
      <w:r w:rsidR="00992432">
        <w:t>C</w:t>
      </w:r>
      <w:r w:rsidR="00714C1E">
        <w:t>onference</w:t>
      </w:r>
      <w:r w:rsidR="0090415C" w:rsidRPr="00946D4C">
        <w:t>.</w:t>
      </w:r>
      <w:r w:rsidR="0090415C">
        <w:t xml:space="preserve"> </w:t>
      </w:r>
    </w:p>
    <w:p w:rsidR="0090415C" w:rsidRPr="0090415C" w:rsidRDefault="0090415C" w:rsidP="0090415C">
      <w:r>
        <w:t xml:space="preserve">The </w:t>
      </w:r>
      <w:r w:rsidR="0038600C">
        <w:t>authors also</w:t>
      </w:r>
      <w:r>
        <w:t xml:space="preserve"> wish to remark that WRC-19 did adopt resolutions regarding co-primary sharing in some of the bands above, but that it was not considered necessary to impose constraints in all of the bands in order to facilitate sharing. </w:t>
      </w:r>
      <w:r w:rsidR="00EC4818">
        <w:t>Therefore, the</w:t>
      </w:r>
      <w:r>
        <w:t xml:space="preserve"> potential for interference into satellite receivers was considered </w:t>
      </w:r>
      <w:r w:rsidR="00EC4818">
        <w:t xml:space="preserve">to be </w:t>
      </w:r>
      <w:r>
        <w:t>different for the different bands</w:t>
      </w:r>
      <w:r w:rsidR="00EC4818">
        <w:t xml:space="preserve">, </w:t>
      </w:r>
      <w:r w:rsidR="00946D4C">
        <w:t>and this was accounted for in the corresponding Resolutions.</w:t>
      </w:r>
    </w:p>
    <w:sectPr w:rsidR="0090415C" w:rsidRPr="0090415C" w:rsidSect="00797DEE">
      <w:headerReference w:type="even" r:id="rId10"/>
      <w:headerReference w:type="default" r:id="rId11"/>
      <w:pgSz w:w="11907" w:h="16840" w:code="9"/>
      <w:pgMar w:top="1440" w:right="1134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4D2" w:rsidRDefault="005424D2" w:rsidP="00DB17F9">
      <w:r>
        <w:separator/>
      </w:r>
    </w:p>
    <w:p w:rsidR="005424D2" w:rsidRDefault="005424D2"/>
  </w:endnote>
  <w:endnote w:type="continuationSeparator" w:id="0">
    <w:p w:rsidR="005424D2" w:rsidRDefault="005424D2" w:rsidP="00DB17F9">
      <w:r>
        <w:continuationSeparator/>
      </w:r>
    </w:p>
    <w:p w:rsidR="005424D2" w:rsidRDefault="005424D2"/>
  </w:endnote>
  <w:endnote w:type="continuationNotice" w:id="1">
    <w:p w:rsidR="005424D2" w:rsidRDefault="005424D2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4D2" w:rsidRPr="00F51BD6" w:rsidRDefault="005424D2" w:rsidP="00CD07E7">
      <w:pPr>
        <w:spacing w:before="120" w:after="0"/>
      </w:pPr>
      <w:r>
        <w:separator/>
      </w:r>
    </w:p>
  </w:footnote>
  <w:footnote w:type="continuationSeparator" w:id="0">
    <w:p w:rsidR="005424D2" w:rsidRDefault="005424D2" w:rsidP="00CD07E7">
      <w:pPr>
        <w:spacing w:before="120" w:after="0"/>
      </w:pPr>
      <w:r>
        <w:continuationSeparator/>
      </w:r>
    </w:p>
  </w:footnote>
  <w:footnote w:type="continuationNotice" w:id="1">
    <w:p w:rsidR="005424D2" w:rsidRPr="00CD07E7" w:rsidRDefault="005424D2" w:rsidP="00CD07E7">
      <w:pPr>
        <w:spacing w:before="120" w:after="0"/>
      </w:pPr>
    </w:p>
  </w:footnote>
  <w:footnote w:id="2">
    <w:p w:rsidR="00640C67" w:rsidRPr="006D4AFC" w:rsidRDefault="00640C67">
      <w:pPr>
        <w:pStyle w:val="Notedebasdepage"/>
        <w:rPr>
          <w:lang w:val="en-GB"/>
        </w:rPr>
      </w:pPr>
      <w:r>
        <w:rPr>
          <w:rStyle w:val="Appelnotedebasdep"/>
        </w:rPr>
        <w:footnoteRef/>
      </w:r>
      <w:r>
        <w:t xml:space="preserve"> </w:t>
      </w:r>
      <w:r w:rsidR="00343F6F">
        <w:t xml:space="preserve">CEPT CPG, </w:t>
      </w:r>
      <w:r w:rsidR="00B06992">
        <w:t>”</w:t>
      </w:r>
      <w:r w:rsidR="00343F6F">
        <w:t xml:space="preserve">Draft </w:t>
      </w:r>
      <w:r w:rsidR="006D4AFC">
        <w:t>CEPT Brief on Article 21.5</w:t>
      </w:r>
      <w:r w:rsidR="00B06992">
        <w:t>”</w:t>
      </w:r>
      <w:r w:rsidR="006D4AFC">
        <w:t xml:space="preserve">, May 2021, available at </w:t>
      </w:r>
      <w:hyperlink r:id="rId1" w:history="1">
        <w:r w:rsidR="00DE63C7" w:rsidRPr="00307AB7">
          <w:rPr>
            <w:rStyle w:val="Lienhypertexte"/>
          </w:rPr>
          <w:t>https://cept.org/Documents/cpg/64831/cpg-21-019-annex-iv-24f_draft-cept-brief-on-article-215</w:t>
        </w:r>
      </w:hyperlink>
      <w:r w:rsidR="00DE63C7">
        <w:t xml:space="preserve"> </w:t>
      </w:r>
    </w:p>
  </w:footnote>
  <w:footnote w:id="3">
    <w:p w:rsidR="00185DCD" w:rsidRPr="00640945" w:rsidRDefault="00185DCD">
      <w:pPr>
        <w:pStyle w:val="Notedebasdepage"/>
        <w:rPr>
          <w:lang w:val="en-GB"/>
        </w:rPr>
      </w:pPr>
      <w:r>
        <w:rPr>
          <w:rStyle w:val="Appelnotedebasdep"/>
        </w:rPr>
        <w:footnoteRef/>
      </w:r>
      <w:r w:rsidR="00640945" w:rsidRPr="00640945">
        <w:t xml:space="preserve"> Note to the Chairman of Plenary</w:t>
      </w:r>
      <w:r w:rsidR="00640945">
        <w:t>, ”</w:t>
      </w:r>
      <w:r w:rsidR="00640945" w:rsidRPr="00640945">
        <w:t>Verification of No. 21.5 for the notification of IMT stations operating within the 26 GHz frequency Range which use an antenna that consists of an array of active elements</w:t>
      </w:r>
      <w:r w:rsidR="00640945">
        <w:t>”</w:t>
      </w:r>
      <w:r w:rsidR="00640945" w:rsidRPr="00640945">
        <w:t>,</w:t>
      </w:r>
      <w:r w:rsidR="00640945">
        <w:t xml:space="preserve"> WRC-19</w:t>
      </w:r>
      <w:r w:rsidR="00640945" w:rsidRPr="00640945">
        <w:t xml:space="preserve"> </w:t>
      </w:r>
      <w:r w:rsidR="007B1A57">
        <w:t>(</w:t>
      </w:r>
      <w:r w:rsidR="00640945" w:rsidRPr="00640945">
        <w:t>21 November 2019</w:t>
      </w:r>
      <w:r w:rsidR="007B1A57">
        <w:t xml:space="preserve">), available at </w:t>
      </w:r>
      <w:hyperlink r:id="rId2" w:history="1">
        <w:r w:rsidR="002659F9" w:rsidRPr="00307AB7">
          <w:rPr>
            <w:rStyle w:val="Lienhypertexte"/>
          </w:rPr>
          <w:t>https://www.itu.int/md/R16-WRC19-C-0550/en</w:t>
        </w:r>
      </w:hyperlink>
      <w:r w:rsidR="002659F9"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601" w:rsidRPr="00AD1BE1" w:rsidRDefault="00102172" w:rsidP="00AD1BE1">
    <w:pPr>
      <w:pStyle w:val="ECCpageHeader"/>
    </w:pPr>
    <w:r w:rsidRPr="00AD1BE1">
      <w:t xml:space="preserve">ECC REPORT </w:t>
    </w:r>
    <w:r w:rsidR="00AD1BE1" w:rsidRPr="00AD1BE1">
      <w:t>&lt;No&gt;</w:t>
    </w:r>
    <w:r w:rsidR="00F56F62" w:rsidRPr="00AD1BE1">
      <w:t xml:space="preserve"> - </w:t>
    </w:r>
    <w:r w:rsidRPr="00AD1BE1">
      <w:t xml:space="preserve">Page </w:t>
    </w:r>
    <w:r w:rsidRPr="00AD1BE1">
      <w:fldChar w:fldCharType="begin"/>
    </w:r>
    <w:r w:rsidRPr="00AD1BE1">
      <w:instrText xml:space="preserve"> PAGE  \* Arabic  \* MERGEFORMAT </w:instrText>
    </w:r>
    <w:r w:rsidRPr="00AD1BE1">
      <w:fldChar w:fldCharType="separate"/>
    </w:r>
    <w:r w:rsidR="004C1A87">
      <w:rPr>
        <w:noProof/>
      </w:rPr>
      <w:t>1</w:t>
    </w:r>
    <w:r w:rsidRPr="00AD1BE1"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172" w:rsidRPr="00714F0F" w:rsidRDefault="00102172" w:rsidP="00714F0F">
    <w:pPr>
      <w:pStyle w:val="ECCpageHeader"/>
    </w:pPr>
    <w:r w:rsidRPr="00714F0F">
      <w:tab/>
      <w:t xml:space="preserve">Page </w:t>
    </w:r>
    <w:r w:rsidRPr="00714F0F">
      <w:fldChar w:fldCharType="begin"/>
    </w:r>
    <w:r w:rsidRPr="00714F0F">
      <w:instrText xml:space="preserve"> PAGE  \* Arabic  \* MERGEFORMAT </w:instrText>
    </w:r>
    <w:r w:rsidRPr="00714F0F">
      <w:fldChar w:fldCharType="separate"/>
    </w:r>
    <w:r w:rsidR="008A0BAB">
      <w:rPr>
        <w:noProof/>
      </w:rPr>
      <w:t>4</w:t>
    </w:r>
    <w:r w:rsidRPr="00714F0F">
      <w:fldChar w:fldCharType="end"/>
    </w:r>
  </w:p>
  <w:p w:rsidR="00E11D7E" w:rsidRDefault="00E11D7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25.2pt;height:59.45pt" o:bullet="t">
        <v:imagedata r:id="rId1" o:title="Editor's Note"/>
      </v:shape>
    </w:pict>
  </w:numPicBullet>
  <w:abstractNum w:abstractNumId="0">
    <w:nsid w:val="0FEB4A7C"/>
    <w:multiLevelType w:val="hybridMultilevel"/>
    <w:tmpl w:val="B96CE56A"/>
    <w:lvl w:ilvl="0" w:tplc="91C4760E">
      <w:start w:val="1"/>
      <w:numFmt w:val="bullet"/>
      <w:pStyle w:val="ECCBulletsLv1"/>
      <w:lvlText w:val=""/>
      <w:lvlJc w:val="left"/>
      <w:pPr>
        <w:ind w:left="360" w:hanging="360"/>
      </w:pPr>
      <w:rPr>
        <w:rFonts w:ascii="Wingdings" w:hAnsi="Wingdings" w:hint="default"/>
        <w:color w:val="D2232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F4188"/>
    <w:multiLevelType w:val="multilevel"/>
    <w:tmpl w:val="F1FACA8E"/>
    <w:lvl w:ilvl="0">
      <w:start w:val="1"/>
      <w:numFmt w:val="decimal"/>
      <w:pStyle w:val="ECCAnnexheading1"/>
      <w:suff w:val="space"/>
      <w:lvlText w:val="ANNEX %1:"/>
      <w:lvlJc w:val="left"/>
      <w:pPr>
        <w:ind w:left="0" w:firstLine="0"/>
      </w:pPr>
      <w:rPr>
        <w:rFonts w:ascii="Arial" w:hAnsi="Arial" w:hint="default"/>
        <w:b/>
        <w:bCs w:val="0"/>
        <w:i w:val="0"/>
        <w:iCs w:val="0"/>
        <w:smallCaps w:val="0"/>
        <w:strike w:val="0"/>
        <w:dstrike w:val="0"/>
        <w:vanish w:val="0"/>
        <w:color w:val="D2232A"/>
        <w:spacing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ECCAnnexheading2"/>
      <w:suff w:val="space"/>
      <w:lvlText w:val="A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ECCAnnexheading3"/>
      <w:lvlText w:val="A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ECCAnnexheading4"/>
      <w:lvlText w:val="A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2A0A7C33"/>
    <w:multiLevelType w:val="hybridMultilevel"/>
    <w:tmpl w:val="81E804EC"/>
    <w:lvl w:ilvl="0" w:tplc="F3F6E784">
      <w:start w:val="1"/>
      <w:numFmt w:val="decimal"/>
      <w:pStyle w:val="ECCEditorsNote"/>
      <w:lvlText w:val="Editor's Note %1:"/>
      <w:lvlJc w:val="left"/>
      <w:pPr>
        <w:tabs>
          <w:tab w:val="num" w:pos="1559"/>
        </w:tabs>
        <w:ind w:left="1559" w:hanging="1559"/>
      </w:pPr>
      <w:rPr>
        <w:rFonts w:hint="default"/>
        <w:caps w:val="0"/>
        <w:strike w:val="0"/>
        <w:dstrike w:val="0"/>
        <w:vanish w:val="0"/>
        <w:color w:val="auto"/>
        <w:u w:color="FFFF00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1D2CAF"/>
    <w:multiLevelType w:val="multilevel"/>
    <w:tmpl w:val="C960DCD2"/>
    <w:lvl w:ilvl="0">
      <w:start w:val="1"/>
      <w:numFmt w:val="decimal"/>
      <w:pStyle w:val="ECCNumberedList"/>
      <w:lvlText w:val="%1"/>
      <w:lvlJc w:val="left"/>
      <w:pPr>
        <w:ind w:left="360" w:hanging="360"/>
      </w:pPr>
      <w:rPr>
        <w:rFonts w:hint="default"/>
        <w:b w:val="0"/>
        <w:i w:val="0"/>
        <w:color w:val="D2232A"/>
        <w:sz w:val="20"/>
      </w:rPr>
    </w:lvl>
    <w:lvl w:ilvl="1">
      <w:start w:val="1"/>
      <w:numFmt w:val="bullet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D2232A"/>
      </w:rPr>
    </w:lvl>
    <w:lvl w:ilvl="2">
      <w:start w:val="1"/>
      <w:numFmt w:val="bullet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D2232A"/>
      </w:rPr>
    </w:lvl>
    <w:lvl w:ilvl="3">
      <w:start w:val="1"/>
      <w:numFmt w:val="decimal"/>
      <w:lvlText w:val="(%4)"/>
      <w:lvlJc w:val="left"/>
      <w:pPr>
        <w:ind w:left="10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43" w:hanging="360"/>
      </w:pPr>
      <w:rPr>
        <w:rFonts w:hint="default"/>
      </w:rPr>
    </w:lvl>
  </w:abstractNum>
  <w:abstractNum w:abstractNumId="4">
    <w:nsid w:val="3D163F7A"/>
    <w:multiLevelType w:val="multilevel"/>
    <w:tmpl w:val="C51432D8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olor w:val="D2232A"/>
        <w:sz w:val="20"/>
        <w:szCs w:val="20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z w:val="20"/>
        <w:szCs w:val="20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/>
        <w:sz w:val="20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46E6242A"/>
    <w:multiLevelType w:val="hybridMultilevel"/>
    <w:tmpl w:val="9146C086"/>
    <w:lvl w:ilvl="0" w:tplc="5D1C976A">
      <w:start w:val="1"/>
      <w:numFmt w:val="decimal"/>
      <w:pStyle w:val="ECCReference"/>
      <w:lvlText w:val="[%1]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D2232A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E532EA"/>
    <w:multiLevelType w:val="hybridMultilevel"/>
    <w:tmpl w:val="5810E2A4"/>
    <w:lvl w:ilvl="0" w:tplc="20B4FF9A">
      <w:start w:val="1"/>
      <w:numFmt w:val="bullet"/>
      <w:lvlText w:val=""/>
      <w:lvlJc w:val="left"/>
      <w:pPr>
        <w:tabs>
          <w:tab w:val="num" w:pos="1559"/>
        </w:tabs>
        <w:ind w:left="1559" w:hanging="1559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 w:color="FFFF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BE4C9A"/>
    <w:multiLevelType w:val="multilevel"/>
    <w:tmpl w:val="8FA093E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D2232A"/>
        <w:sz w:val="20"/>
      </w:rPr>
    </w:lvl>
    <w:lvl w:ilvl="1">
      <w:start w:val="1"/>
      <w:numFmt w:val="lowerLetter"/>
      <w:pStyle w:val="ECCLetteredList"/>
      <w:lvlText w:val="%2)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color w:val="D2232A"/>
        <w:sz w:val="20"/>
      </w:rPr>
    </w:lvl>
    <w:lvl w:ilvl="2">
      <w:start w:val="1"/>
      <w:numFmt w:val="bullet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D2232A"/>
      </w:rPr>
    </w:lvl>
    <w:lvl w:ilvl="3">
      <w:start w:val="1"/>
      <w:numFmt w:val="none"/>
      <w:lvlText w:val=""/>
      <w:lvlJc w:val="left"/>
      <w:pPr>
        <w:tabs>
          <w:tab w:val="num" w:pos="1077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2"/>
  </w:num>
  <w:num w:numId="10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removePersonalInformation/>
  <w:removeDateAndTime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stylePaneSortMethod w:val="0000"/>
  <w:documentProtection w:formatting="1" w:enforcement="0"/>
  <w:autoFormatOverride/>
  <w:styleLockQFSet/>
  <w:defaultTabStop w:val="567"/>
  <w:hyphenationZone w:val="425"/>
  <w:characterSpacingControl w:val="doNotCompress"/>
  <w:hdrShapeDefaults>
    <o:shapedefaults v:ext="edit" spidmax="2049">
      <o:colormru v:ext="edit" colors="#7b6c58,#887e6e,#b0a696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F50"/>
    <w:rsid w:val="0000168D"/>
    <w:rsid w:val="0000269E"/>
    <w:rsid w:val="0001112E"/>
    <w:rsid w:val="00012E3B"/>
    <w:rsid w:val="00014E38"/>
    <w:rsid w:val="00032837"/>
    <w:rsid w:val="000346B4"/>
    <w:rsid w:val="000355B7"/>
    <w:rsid w:val="000358B6"/>
    <w:rsid w:val="00041A18"/>
    <w:rsid w:val="0004622B"/>
    <w:rsid w:val="00046DD4"/>
    <w:rsid w:val="000521CB"/>
    <w:rsid w:val="000609BF"/>
    <w:rsid w:val="00065A30"/>
    <w:rsid w:val="00065F0C"/>
    <w:rsid w:val="00067793"/>
    <w:rsid w:val="00072EA9"/>
    <w:rsid w:val="00080D4D"/>
    <w:rsid w:val="00082DD7"/>
    <w:rsid w:val="00087F64"/>
    <w:rsid w:val="00091BBE"/>
    <w:rsid w:val="00091DCD"/>
    <w:rsid w:val="00095620"/>
    <w:rsid w:val="000A04BB"/>
    <w:rsid w:val="000A051A"/>
    <w:rsid w:val="000A29CD"/>
    <w:rsid w:val="000A3940"/>
    <w:rsid w:val="000B5FA9"/>
    <w:rsid w:val="000B6D45"/>
    <w:rsid w:val="000C028F"/>
    <w:rsid w:val="000C0703"/>
    <w:rsid w:val="000D1710"/>
    <w:rsid w:val="000D22F6"/>
    <w:rsid w:val="000D43BB"/>
    <w:rsid w:val="000D7B38"/>
    <w:rsid w:val="000E39C7"/>
    <w:rsid w:val="000E3E4D"/>
    <w:rsid w:val="000E42F5"/>
    <w:rsid w:val="000F0594"/>
    <w:rsid w:val="000F0CA8"/>
    <w:rsid w:val="000F24F5"/>
    <w:rsid w:val="000F2ED9"/>
    <w:rsid w:val="001006CA"/>
    <w:rsid w:val="00100F8B"/>
    <w:rsid w:val="00102172"/>
    <w:rsid w:val="00102FF9"/>
    <w:rsid w:val="00103A96"/>
    <w:rsid w:val="00110652"/>
    <w:rsid w:val="001162EB"/>
    <w:rsid w:val="00122079"/>
    <w:rsid w:val="001222D7"/>
    <w:rsid w:val="0013450E"/>
    <w:rsid w:val="001358CE"/>
    <w:rsid w:val="00144F27"/>
    <w:rsid w:val="00150DBA"/>
    <w:rsid w:val="00150F0B"/>
    <w:rsid w:val="001526A2"/>
    <w:rsid w:val="00152A92"/>
    <w:rsid w:val="00153CE6"/>
    <w:rsid w:val="00154F16"/>
    <w:rsid w:val="00156314"/>
    <w:rsid w:val="00160E38"/>
    <w:rsid w:val="00163F73"/>
    <w:rsid w:val="001648BA"/>
    <w:rsid w:val="00165BEA"/>
    <w:rsid w:val="001708CE"/>
    <w:rsid w:val="00172B28"/>
    <w:rsid w:val="00183FE0"/>
    <w:rsid w:val="0018553F"/>
    <w:rsid w:val="001859B9"/>
    <w:rsid w:val="00185DCD"/>
    <w:rsid w:val="001A01CA"/>
    <w:rsid w:val="001A1513"/>
    <w:rsid w:val="001A552D"/>
    <w:rsid w:val="001A5E98"/>
    <w:rsid w:val="001B0583"/>
    <w:rsid w:val="001B0BDF"/>
    <w:rsid w:val="001B3649"/>
    <w:rsid w:val="001B57D1"/>
    <w:rsid w:val="001B6BE5"/>
    <w:rsid w:val="001C30A8"/>
    <w:rsid w:val="001D22FA"/>
    <w:rsid w:val="001D32E7"/>
    <w:rsid w:val="001E0F7D"/>
    <w:rsid w:val="001F25AF"/>
    <w:rsid w:val="001F4AC2"/>
    <w:rsid w:val="001F5130"/>
    <w:rsid w:val="0020079A"/>
    <w:rsid w:val="00200BF1"/>
    <w:rsid w:val="0020350F"/>
    <w:rsid w:val="00212663"/>
    <w:rsid w:val="002160BC"/>
    <w:rsid w:val="0021651A"/>
    <w:rsid w:val="00222F9E"/>
    <w:rsid w:val="00227CF0"/>
    <w:rsid w:val="002302A9"/>
    <w:rsid w:val="00231A0F"/>
    <w:rsid w:val="0023676A"/>
    <w:rsid w:val="002368CD"/>
    <w:rsid w:val="00247B0B"/>
    <w:rsid w:val="00250E2A"/>
    <w:rsid w:val="00251D2A"/>
    <w:rsid w:val="002540EF"/>
    <w:rsid w:val="00255338"/>
    <w:rsid w:val="002605AA"/>
    <w:rsid w:val="00263FFB"/>
    <w:rsid w:val="002659F9"/>
    <w:rsid w:val="00265F50"/>
    <w:rsid w:val="002679DE"/>
    <w:rsid w:val="00271FB1"/>
    <w:rsid w:val="002728D2"/>
    <w:rsid w:val="00274F84"/>
    <w:rsid w:val="002753B5"/>
    <w:rsid w:val="00275DA3"/>
    <w:rsid w:val="0027787F"/>
    <w:rsid w:val="0028060B"/>
    <w:rsid w:val="0028120C"/>
    <w:rsid w:val="00283417"/>
    <w:rsid w:val="00284DDD"/>
    <w:rsid w:val="00285967"/>
    <w:rsid w:val="002870EB"/>
    <w:rsid w:val="0029093D"/>
    <w:rsid w:val="002911D4"/>
    <w:rsid w:val="00291B47"/>
    <w:rsid w:val="00295827"/>
    <w:rsid w:val="00295F16"/>
    <w:rsid w:val="00296C44"/>
    <w:rsid w:val="002977D6"/>
    <w:rsid w:val="002A033F"/>
    <w:rsid w:val="002A07FC"/>
    <w:rsid w:val="002A1044"/>
    <w:rsid w:val="002A6502"/>
    <w:rsid w:val="002B18EA"/>
    <w:rsid w:val="002B3E16"/>
    <w:rsid w:val="002B5161"/>
    <w:rsid w:val="002B6E42"/>
    <w:rsid w:val="002B7501"/>
    <w:rsid w:val="002C224A"/>
    <w:rsid w:val="002C4C74"/>
    <w:rsid w:val="002C6DC3"/>
    <w:rsid w:val="002D1FA9"/>
    <w:rsid w:val="002D50A3"/>
    <w:rsid w:val="002D6E45"/>
    <w:rsid w:val="002F0663"/>
    <w:rsid w:val="002F1E9E"/>
    <w:rsid w:val="002F1FD1"/>
    <w:rsid w:val="002F70E6"/>
    <w:rsid w:val="003007C0"/>
    <w:rsid w:val="00301549"/>
    <w:rsid w:val="00303A15"/>
    <w:rsid w:val="0030752F"/>
    <w:rsid w:val="00307A79"/>
    <w:rsid w:val="003204D5"/>
    <w:rsid w:val="00320ED0"/>
    <w:rsid w:val="00322E6A"/>
    <w:rsid w:val="0032421E"/>
    <w:rsid w:val="003314A0"/>
    <w:rsid w:val="00334EA1"/>
    <w:rsid w:val="00343F6F"/>
    <w:rsid w:val="00353967"/>
    <w:rsid w:val="00354828"/>
    <w:rsid w:val="0035483C"/>
    <w:rsid w:val="0036161F"/>
    <w:rsid w:val="003625B0"/>
    <w:rsid w:val="00364311"/>
    <w:rsid w:val="00365198"/>
    <w:rsid w:val="00367A95"/>
    <w:rsid w:val="00373C06"/>
    <w:rsid w:val="0037457E"/>
    <w:rsid w:val="00374891"/>
    <w:rsid w:val="00381169"/>
    <w:rsid w:val="0038287C"/>
    <w:rsid w:val="0038358E"/>
    <w:rsid w:val="0038600C"/>
    <w:rsid w:val="00387DDE"/>
    <w:rsid w:val="00391A01"/>
    <w:rsid w:val="003943E4"/>
    <w:rsid w:val="003A0EB5"/>
    <w:rsid w:val="003A4263"/>
    <w:rsid w:val="003A5711"/>
    <w:rsid w:val="003A660E"/>
    <w:rsid w:val="003A7DF5"/>
    <w:rsid w:val="003B1551"/>
    <w:rsid w:val="003B4FAA"/>
    <w:rsid w:val="003B5AAC"/>
    <w:rsid w:val="003C4B68"/>
    <w:rsid w:val="003C61AA"/>
    <w:rsid w:val="003C64D9"/>
    <w:rsid w:val="003E2E42"/>
    <w:rsid w:val="003E46A7"/>
    <w:rsid w:val="003E6574"/>
    <w:rsid w:val="003E70E0"/>
    <w:rsid w:val="003F6D2D"/>
    <w:rsid w:val="00403CE6"/>
    <w:rsid w:val="004110CA"/>
    <w:rsid w:val="0041160E"/>
    <w:rsid w:val="0041451C"/>
    <w:rsid w:val="0041451E"/>
    <w:rsid w:val="00415D07"/>
    <w:rsid w:val="004178F3"/>
    <w:rsid w:val="00424EF5"/>
    <w:rsid w:val="0042761F"/>
    <w:rsid w:val="00431162"/>
    <w:rsid w:val="00435A2A"/>
    <w:rsid w:val="00441A5E"/>
    <w:rsid w:val="00441EE0"/>
    <w:rsid w:val="00443482"/>
    <w:rsid w:val="00450308"/>
    <w:rsid w:val="00451BC9"/>
    <w:rsid w:val="004545F9"/>
    <w:rsid w:val="00455E87"/>
    <w:rsid w:val="00457AD1"/>
    <w:rsid w:val="00460BEC"/>
    <w:rsid w:val="0046427F"/>
    <w:rsid w:val="00467DD4"/>
    <w:rsid w:val="00470C13"/>
    <w:rsid w:val="00473F80"/>
    <w:rsid w:val="00482AD4"/>
    <w:rsid w:val="00485665"/>
    <w:rsid w:val="00490BB7"/>
    <w:rsid w:val="00491977"/>
    <w:rsid w:val="00492AAF"/>
    <w:rsid w:val="004974B1"/>
    <w:rsid w:val="00497BDA"/>
    <w:rsid w:val="004A1329"/>
    <w:rsid w:val="004A5745"/>
    <w:rsid w:val="004A7FFD"/>
    <w:rsid w:val="004B061E"/>
    <w:rsid w:val="004B38D1"/>
    <w:rsid w:val="004C1A87"/>
    <w:rsid w:val="004C4A2E"/>
    <w:rsid w:val="004C4CF1"/>
    <w:rsid w:val="004D18A5"/>
    <w:rsid w:val="004D1A38"/>
    <w:rsid w:val="004E057E"/>
    <w:rsid w:val="004E44C8"/>
    <w:rsid w:val="004E46C3"/>
    <w:rsid w:val="004E53BE"/>
    <w:rsid w:val="004E7F82"/>
    <w:rsid w:val="004F1DB3"/>
    <w:rsid w:val="004F3EA9"/>
    <w:rsid w:val="00501992"/>
    <w:rsid w:val="005026AC"/>
    <w:rsid w:val="00503ED9"/>
    <w:rsid w:val="00505EE5"/>
    <w:rsid w:val="0051091B"/>
    <w:rsid w:val="00510AE7"/>
    <w:rsid w:val="00520EFD"/>
    <w:rsid w:val="0053062A"/>
    <w:rsid w:val="00535050"/>
    <w:rsid w:val="00536F3C"/>
    <w:rsid w:val="005424D2"/>
    <w:rsid w:val="0054260E"/>
    <w:rsid w:val="005443DF"/>
    <w:rsid w:val="00550D79"/>
    <w:rsid w:val="00551FBF"/>
    <w:rsid w:val="00553C0B"/>
    <w:rsid w:val="005559AC"/>
    <w:rsid w:val="00555FB3"/>
    <w:rsid w:val="00557B5A"/>
    <w:rsid w:val="005611D0"/>
    <w:rsid w:val="00563C2A"/>
    <w:rsid w:val="0056604A"/>
    <w:rsid w:val="00566B9E"/>
    <w:rsid w:val="00566BD4"/>
    <w:rsid w:val="00576411"/>
    <w:rsid w:val="00577CAF"/>
    <w:rsid w:val="00580223"/>
    <w:rsid w:val="005832B8"/>
    <w:rsid w:val="0058402A"/>
    <w:rsid w:val="00584747"/>
    <w:rsid w:val="00590D66"/>
    <w:rsid w:val="00594186"/>
    <w:rsid w:val="00596122"/>
    <w:rsid w:val="00597BD1"/>
    <w:rsid w:val="005A05D1"/>
    <w:rsid w:val="005A53B8"/>
    <w:rsid w:val="005B202B"/>
    <w:rsid w:val="005B341B"/>
    <w:rsid w:val="005B5F90"/>
    <w:rsid w:val="005B79BF"/>
    <w:rsid w:val="005C10EB"/>
    <w:rsid w:val="005C2301"/>
    <w:rsid w:val="005C4108"/>
    <w:rsid w:val="005C5A96"/>
    <w:rsid w:val="005C5CCC"/>
    <w:rsid w:val="005C768A"/>
    <w:rsid w:val="005D2346"/>
    <w:rsid w:val="005D371D"/>
    <w:rsid w:val="005E009C"/>
    <w:rsid w:val="005E6BCF"/>
    <w:rsid w:val="005E6EC0"/>
    <w:rsid w:val="005E7495"/>
    <w:rsid w:val="005F221D"/>
    <w:rsid w:val="005F2C97"/>
    <w:rsid w:val="005F55AA"/>
    <w:rsid w:val="005F6707"/>
    <w:rsid w:val="00600117"/>
    <w:rsid w:val="00602B2B"/>
    <w:rsid w:val="0060603C"/>
    <w:rsid w:val="00615B73"/>
    <w:rsid w:val="00621C12"/>
    <w:rsid w:val="006236E3"/>
    <w:rsid w:val="00623E18"/>
    <w:rsid w:val="00625C5D"/>
    <w:rsid w:val="0063025E"/>
    <w:rsid w:val="00635A22"/>
    <w:rsid w:val="00635C2F"/>
    <w:rsid w:val="00640945"/>
    <w:rsid w:val="00640C67"/>
    <w:rsid w:val="00642083"/>
    <w:rsid w:val="0064462B"/>
    <w:rsid w:val="006458D5"/>
    <w:rsid w:val="00646B09"/>
    <w:rsid w:val="0065550D"/>
    <w:rsid w:val="00664295"/>
    <w:rsid w:val="00665364"/>
    <w:rsid w:val="00667B35"/>
    <w:rsid w:val="006713EB"/>
    <w:rsid w:val="00672CD8"/>
    <w:rsid w:val="00673A9B"/>
    <w:rsid w:val="00675038"/>
    <w:rsid w:val="006820A4"/>
    <w:rsid w:val="006857CF"/>
    <w:rsid w:val="006876A8"/>
    <w:rsid w:val="00691C46"/>
    <w:rsid w:val="006935B1"/>
    <w:rsid w:val="006A0ED0"/>
    <w:rsid w:val="006A3B77"/>
    <w:rsid w:val="006A49E3"/>
    <w:rsid w:val="006A4F94"/>
    <w:rsid w:val="006A6564"/>
    <w:rsid w:val="006B1419"/>
    <w:rsid w:val="006B1EFD"/>
    <w:rsid w:val="006B7998"/>
    <w:rsid w:val="006C14E4"/>
    <w:rsid w:val="006C6DA8"/>
    <w:rsid w:val="006C7424"/>
    <w:rsid w:val="006C75DA"/>
    <w:rsid w:val="006C7F61"/>
    <w:rsid w:val="006D3D63"/>
    <w:rsid w:val="006D407F"/>
    <w:rsid w:val="006D4AFC"/>
    <w:rsid w:val="006D5C1D"/>
    <w:rsid w:val="006E0347"/>
    <w:rsid w:val="006E5518"/>
    <w:rsid w:val="006E7A12"/>
    <w:rsid w:val="006F03EB"/>
    <w:rsid w:val="006F0442"/>
    <w:rsid w:val="0070777E"/>
    <w:rsid w:val="00710B55"/>
    <w:rsid w:val="00711A6F"/>
    <w:rsid w:val="00714C1E"/>
    <w:rsid w:val="00714F0F"/>
    <w:rsid w:val="007160BE"/>
    <w:rsid w:val="00722F65"/>
    <w:rsid w:val="00723EFD"/>
    <w:rsid w:val="007257CD"/>
    <w:rsid w:val="00734A4F"/>
    <w:rsid w:val="00736AAE"/>
    <w:rsid w:val="0074075B"/>
    <w:rsid w:val="007414C6"/>
    <w:rsid w:val="00751E6C"/>
    <w:rsid w:val="007540E8"/>
    <w:rsid w:val="00760BDF"/>
    <w:rsid w:val="00762BCC"/>
    <w:rsid w:val="00763BA3"/>
    <w:rsid w:val="00765B66"/>
    <w:rsid w:val="00767BB2"/>
    <w:rsid w:val="007700AD"/>
    <w:rsid w:val="0077159C"/>
    <w:rsid w:val="00772774"/>
    <w:rsid w:val="00776D23"/>
    <w:rsid w:val="00780376"/>
    <w:rsid w:val="00780841"/>
    <w:rsid w:val="00780EE3"/>
    <w:rsid w:val="00786671"/>
    <w:rsid w:val="00791308"/>
    <w:rsid w:val="00791AAC"/>
    <w:rsid w:val="00792017"/>
    <w:rsid w:val="00792581"/>
    <w:rsid w:val="00792746"/>
    <w:rsid w:val="007962C5"/>
    <w:rsid w:val="00797D4C"/>
    <w:rsid w:val="00797DEE"/>
    <w:rsid w:val="007A0E61"/>
    <w:rsid w:val="007B1A57"/>
    <w:rsid w:val="007B5C67"/>
    <w:rsid w:val="007C0E7E"/>
    <w:rsid w:val="007C4098"/>
    <w:rsid w:val="007C4C03"/>
    <w:rsid w:val="007D17C5"/>
    <w:rsid w:val="007D1B5C"/>
    <w:rsid w:val="007D52EC"/>
    <w:rsid w:val="007D6E91"/>
    <w:rsid w:val="007E1A57"/>
    <w:rsid w:val="007E217D"/>
    <w:rsid w:val="007F090A"/>
    <w:rsid w:val="007F1CEE"/>
    <w:rsid w:val="00804A93"/>
    <w:rsid w:val="00804B1C"/>
    <w:rsid w:val="00807C77"/>
    <w:rsid w:val="008169E6"/>
    <w:rsid w:val="00822E0E"/>
    <w:rsid w:val="00827C16"/>
    <w:rsid w:val="00831872"/>
    <w:rsid w:val="00837537"/>
    <w:rsid w:val="00842766"/>
    <w:rsid w:val="00842E0F"/>
    <w:rsid w:val="00843353"/>
    <w:rsid w:val="00845C87"/>
    <w:rsid w:val="00847476"/>
    <w:rsid w:val="00851A8C"/>
    <w:rsid w:val="00853306"/>
    <w:rsid w:val="00854EBF"/>
    <w:rsid w:val="00857C10"/>
    <w:rsid w:val="0086094D"/>
    <w:rsid w:val="00861C3E"/>
    <w:rsid w:val="00863031"/>
    <w:rsid w:val="00863836"/>
    <w:rsid w:val="0086731C"/>
    <w:rsid w:val="008716B5"/>
    <w:rsid w:val="008717C8"/>
    <w:rsid w:val="00872382"/>
    <w:rsid w:val="008725AB"/>
    <w:rsid w:val="0088462F"/>
    <w:rsid w:val="0088464B"/>
    <w:rsid w:val="00886906"/>
    <w:rsid w:val="008912FE"/>
    <w:rsid w:val="008A0BAB"/>
    <w:rsid w:val="008A11A5"/>
    <w:rsid w:val="008A17FB"/>
    <w:rsid w:val="008A245D"/>
    <w:rsid w:val="008A28FC"/>
    <w:rsid w:val="008A33CB"/>
    <w:rsid w:val="008A54FC"/>
    <w:rsid w:val="008A71FF"/>
    <w:rsid w:val="008B1937"/>
    <w:rsid w:val="008B30D9"/>
    <w:rsid w:val="008B4271"/>
    <w:rsid w:val="008B5681"/>
    <w:rsid w:val="008B70CD"/>
    <w:rsid w:val="008C449C"/>
    <w:rsid w:val="008C4D2E"/>
    <w:rsid w:val="008C6736"/>
    <w:rsid w:val="008D1017"/>
    <w:rsid w:val="008D141C"/>
    <w:rsid w:val="008D2C13"/>
    <w:rsid w:val="008E6109"/>
    <w:rsid w:val="008F3EAD"/>
    <w:rsid w:val="008F4074"/>
    <w:rsid w:val="008F47AB"/>
    <w:rsid w:val="0090415C"/>
    <w:rsid w:val="009070EC"/>
    <w:rsid w:val="00907A34"/>
    <w:rsid w:val="00914279"/>
    <w:rsid w:val="00915DD5"/>
    <w:rsid w:val="009170EA"/>
    <w:rsid w:val="0092076F"/>
    <w:rsid w:val="00922201"/>
    <w:rsid w:val="00930439"/>
    <w:rsid w:val="00932C63"/>
    <w:rsid w:val="009369EB"/>
    <w:rsid w:val="00937AEB"/>
    <w:rsid w:val="00941FB6"/>
    <w:rsid w:val="00946D4C"/>
    <w:rsid w:val="00960316"/>
    <w:rsid w:val="009662E3"/>
    <w:rsid w:val="00966DD9"/>
    <w:rsid w:val="00971D26"/>
    <w:rsid w:val="00983107"/>
    <w:rsid w:val="00986677"/>
    <w:rsid w:val="00992432"/>
    <w:rsid w:val="00992DD7"/>
    <w:rsid w:val="0099421C"/>
    <w:rsid w:val="0099528F"/>
    <w:rsid w:val="009961E3"/>
    <w:rsid w:val="009A2F3A"/>
    <w:rsid w:val="009A634F"/>
    <w:rsid w:val="009A78BE"/>
    <w:rsid w:val="009A7A45"/>
    <w:rsid w:val="009B3191"/>
    <w:rsid w:val="009C1950"/>
    <w:rsid w:val="009C1F0B"/>
    <w:rsid w:val="009C3803"/>
    <w:rsid w:val="009D0776"/>
    <w:rsid w:val="009D2C13"/>
    <w:rsid w:val="009D3BA5"/>
    <w:rsid w:val="009D4BA1"/>
    <w:rsid w:val="009D7D5A"/>
    <w:rsid w:val="009E1045"/>
    <w:rsid w:val="009E47EB"/>
    <w:rsid w:val="009E53F5"/>
    <w:rsid w:val="009E5430"/>
    <w:rsid w:val="009E7B5A"/>
    <w:rsid w:val="009F2EA6"/>
    <w:rsid w:val="009F3A37"/>
    <w:rsid w:val="009F6EA2"/>
    <w:rsid w:val="009F7B9D"/>
    <w:rsid w:val="009F7FB8"/>
    <w:rsid w:val="00A02090"/>
    <w:rsid w:val="00A03731"/>
    <w:rsid w:val="00A061CE"/>
    <w:rsid w:val="00A076B5"/>
    <w:rsid w:val="00A07E71"/>
    <w:rsid w:val="00A07FF3"/>
    <w:rsid w:val="00A13982"/>
    <w:rsid w:val="00A170B9"/>
    <w:rsid w:val="00A17F69"/>
    <w:rsid w:val="00A23870"/>
    <w:rsid w:val="00A274DB"/>
    <w:rsid w:val="00A3697A"/>
    <w:rsid w:val="00A37E41"/>
    <w:rsid w:val="00A41850"/>
    <w:rsid w:val="00A41E1E"/>
    <w:rsid w:val="00A42986"/>
    <w:rsid w:val="00A440EC"/>
    <w:rsid w:val="00A4535C"/>
    <w:rsid w:val="00A6411D"/>
    <w:rsid w:val="00A65F0A"/>
    <w:rsid w:val="00A66502"/>
    <w:rsid w:val="00A6717F"/>
    <w:rsid w:val="00A673EB"/>
    <w:rsid w:val="00A7092E"/>
    <w:rsid w:val="00A714DC"/>
    <w:rsid w:val="00A7298C"/>
    <w:rsid w:val="00A73298"/>
    <w:rsid w:val="00A751C0"/>
    <w:rsid w:val="00A81C3A"/>
    <w:rsid w:val="00A841B7"/>
    <w:rsid w:val="00A91441"/>
    <w:rsid w:val="00A91D48"/>
    <w:rsid w:val="00A93E1F"/>
    <w:rsid w:val="00A95ACB"/>
    <w:rsid w:val="00A97942"/>
    <w:rsid w:val="00AA079B"/>
    <w:rsid w:val="00AA086A"/>
    <w:rsid w:val="00AB39AF"/>
    <w:rsid w:val="00AB5F74"/>
    <w:rsid w:val="00AC0EA5"/>
    <w:rsid w:val="00AC14DB"/>
    <w:rsid w:val="00AC2686"/>
    <w:rsid w:val="00AC3D5B"/>
    <w:rsid w:val="00AC5C0A"/>
    <w:rsid w:val="00AC5F97"/>
    <w:rsid w:val="00AD1BE1"/>
    <w:rsid w:val="00AD5F4D"/>
    <w:rsid w:val="00AD7257"/>
    <w:rsid w:val="00AE14B1"/>
    <w:rsid w:val="00AE5B6C"/>
    <w:rsid w:val="00AF0889"/>
    <w:rsid w:val="00AF24FC"/>
    <w:rsid w:val="00AF2D0C"/>
    <w:rsid w:val="00AF4C0E"/>
    <w:rsid w:val="00AF57F0"/>
    <w:rsid w:val="00B03F22"/>
    <w:rsid w:val="00B04A7A"/>
    <w:rsid w:val="00B06992"/>
    <w:rsid w:val="00B14E5E"/>
    <w:rsid w:val="00B1612A"/>
    <w:rsid w:val="00B214EF"/>
    <w:rsid w:val="00B25910"/>
    <w:rsid w:val="00B26973"/>
    <w:rsid w:val="00B30D3B"/>
    <w:rsid w:val="00B31469"/>
    <w:rsid w:val="00B36EFA"/>
    <w:rsid w:val="00B429FB"/>
    <w:rsid w:val="00B432D4"/>
    <w:rsid w:val="00B4561F"/>
    <w:rsid w:val="00B46BF9"/>
    <w:rsid w:val="00B525C1"/>
    <w:rsid w:val="00B5315C"/>
    <w:rsid w:val="00B55579"/>
    <w:rsid w:val="00B576D7"/>
    <w:rsid w:val="00B7058E"/>
    <w:rsid w:val="00B7161D"/>
    <w:rsid w:val="00B73593"/>
    <w:rsid w:val="00B80892"/>
    <w:rsid w:val="00B82735"/>
    <w:rsid w:val="00B83E45"/>
    <w:rsid w:val="00B85064"/>
    <w:rsid w:val="00B92306"/>
    <w:rsid w:val="00B92861"/>
    <w:rsid w:val="00BA44B0"/>
    <w:rsid w:val="00BA718E"/>
    <w:rsid w:val="00BA7A69"/>
    <w:rsid w:val="00BB15E2"/>
    <w:rsid w:val="00BB25DA"/>
    <w:rsid w:val="00BB4488"/>
    <w:rsid w:val="00BB5215"/>
    <w:rsid w:val="00BB6C82"/>
    <w:rsid w:val="00BC1E6F"/>
    <w:rsid w:val="00BC2A1E"/>
    <w:rsid w:val="00BC7AFE"/>
    <w:rsid w:val="00BD1993"/>
    <w:rsid w:val="00BD28DF"/>
    <w:rsid w:val="00BD4E5F"/>
    <w:rsid w:val="00BD6876"/>
    <w:rsid w:val="00BE0B23"/>
    <w:rsid w:val="00BE2726"/>
    <w:rsid w:val="00BE2864"/>
    <w:rsid w:val="00BE5846"/>
    <w:rsid w:val="00BF01F2"/>
    <w:rsid w:val="00BF390F"/>
    <w:rsid w:val="00BF3AFF"/>
    <w:rsid w:val="00BF61C3"/>
    <w:rsid w:val="00C00316"/>
    <w:rsid w:val="00C00565"/>
    <w:rsid w:val="00C076BF"/>
    <w:rsid w:val="00C114E9"/>
    <w:rsid w:val="00C212B5"/>
    <w:rsid w:val="00C25F81"/>
    <w:rsid w:val="00C27240"/>
    <w:rsid w:val="00C27F02"/>
    <w:rsid w:val="00C30CD3"/>
    <w:rsid w:val="00C3151F"/>
    <w:rsid w:val="00C316A0"/>
    <w:rsid w:val="00C320F6"/>
    <w:rsid w:val="00C32C20"/>
    <w:rsid w:val="00C41465"/>
    <w:rsid w:val="00C42D59"/>
    <w:rsid w:val="00C43AD2"/>
    <w:rsid w:val="00C44908"/>
    <w:rsid w:val="00C456A9"/>
    <w:rsid w:val="00C46C50"/>
    <w:rsid w:val="00C46CAD"/>
    <w:rsid w:val="00C504F4"/>
    <w:rsid w:val="00C512DE"/>
    <w:rsid w:val="00C5308B"/>
    <w:rsid w:val="00C54711"/>
    <w:rsid w:val="00C55032"/>
    <w:rsid w:val="00C57E85"/>
    <w:rsid w:val="00C65BB4"/>
    <w:rsid w:val="00C6741B"/>
    <w:rsid w:val="00C72D87"/>
    <w:rsid w:val="00C8071C"/>
    <w:rsid w:val="00C816CB"/>
    <w:rsid w:val="00C82461"/>
    <w:rsid w:val="00C91E3B"/>
    <w:rsid w:val="00C91FD0"/>
    <w:rsid w:val="00C927AF"/>
    <w:rsid w:val="00C929BB"/>
    <w:rsid w:val="00C95FB9"/>
    <w:rsid w:val="00CA07CC"/>
    <w:rsid w:val="00CA25B5"/>
    <w:rsid w:val="00CA2893"/>
    <w:rsid w:val="00CA3D40"/>
    <w:rsid w:val="00CA4FCE"/>
    <w:rsid w:val="00CA5BDD"/>
    <w:rsid w:val="00CA5F8F"/>
    <w:rsid w:val="00CB3109"/>
    <w:rsid w:val="00CB7A2E"/>
    <w:rsid w:val="00CC0FBA"/>
    <w:rsid w:val="00CC1C65"/>
    <w:rsid w:val="00CC2CA1"/>
    <w:rsid w:val="00CC398A"/>
    <w:rsid w:val="00CC5A6F"/>
    <w:rsid w:val="00CD07E7"/>
    <w:rsid w:val="00CD7822"/>
    <w:rsid w:val="00CE271A"/>
    <w:rsid w:val="00CE4FD5"/>
    <w:rsid w:val="00CE6FF5"/>
    <w:rsid w:val="00CF5245"/>
    <w:rsid w:val="00CF617F"/>
    <w:rsid w:val="00D027DB"/>
    <w:rsid w:val="00D041A0"/>
    <w:rsid w:val="00D06683"/>
    <w:rsid w:val="00D07B1A"/>
    <w:rsid w:val="00D10124"/>
    <w:rsid w:val="00D1101B"/>
    <w:rsid w:val="00D1167E"/>
    <w:rsid w:val="00D121F5"/>
    <w:rsid w:val="00D14B60"/>
    <w:rsid w:val="00D1521C"/>
    <w:rsid w:val="00D234E7"/>
    <w:rsid w:val="00D245BA"/>
    <w:rsid w:val="00D30E46"/>
    <w:rsid w:val="00D349A8"/>
    <w:rsid w:val="00D35096"/>
    <w:rsid w:val="00D3663D"/>
    <w:rsid w:val="00D402FE"/>
    <w:rsid w:val="00D4349F"/>
    <w:rsid w:val="00D440EB"/>
    <w:rsid w:val="00D45A00"/>
    <w:rsid w:val="00D47143"/>
    <w:rsid w:val="00D47EF6"/>
    <w:rsid w:val="00D50AC8"/>
    <w:rsid w:val="00D51114"/>
    <w:rsid w:val="00D55085"/>
    <w:rsid w:val="00D57937"/>
    <w:rsid w:val="00D60A44"/>
    <w:rsid w:val="00D611FB"/>
    <w:rsid w:val="00D6551D"/>
    <w:rsid w:val="00D70E45"/>
    <w:rsid w:val="00D72B1F"/>
    <w:rsid w:val="00D73228"/>
    <w:rsid w:val="00D7390F"/>
    <w:rsid w:val="00D74F04"/>
    <w:rsid w:val="00D75633"/>
    <w:rsid w:val="00D77296"/>
    <w:rsid w:val="00D90913"/>
    <w:rsid w:val="00D92BEC"/>
    <w:rsid w:val="00D92CD4"/>
    <w:rsid w:val="00D936FB"/>
    <w:rsid w:val="00D97D80"/>
    <w:rsid w:val="00DA18F2"/>
    <w:rsid w:val="00DB17F9"/>
    <w:rsid w:val="00DB55B6"/>
    <w:rsid w:val="00DC5647"/>
    <w:rsid w:val="00DD5136"/>
    <w:rsid w:val="00DD6669"/>
    <w:rsid w:val="00DD6973"/>
    <w:rsid w:val="00DE08EB"/>
    <w:rsid w:val="00DE1CF3"/>
    <w:rsid w:val="00DE1E09"/>
    <w:rsid w:val="00DE63C7"/>
    <w:rsid w:val="00DE68CA"/>
    <w:rsid w:val="00DE766E"/>
    <w:rsid w:val="00DF09B4"/>
    <w:rsid w:val="00DF0A4A"/>
    <w:rsid w:val="00DF2C67"/>
    <w:rsid w:val="00DF3AE2"/>
    <w:rsid w:val="00DF7C11"/>
    <w:rsid w:val="00DF7D21"/>
    <w:rsid w:val="00E015D6"/>
    <w:rsid w:val="00E03771"/>
    <w:rsid w:val="00E059C5"/>
    <w:rsid w:val="00E05F60"/>
    <w:rsid w:val="00E11D7E"/>
    <w:rsid w:val="00E14334"/>
    <w:rsid w:val="00E154EA"/>
    <w:rsid w:val="00E22305"/>
    <w:rsid w:val="00E2303A"/>
    <w:rsid w:val="00E2377F"/>
    <w:rsid w:val="00E343BD"/>
    <w:rsid w:val="00E348D9"/>
    <w:rsid w:val="00E36601"/>
    <w:rsid w:val="00E41B2E"/>
    <w:rsid w:val="00E41C66"/>
    <w:rsid w:val="00E45E10"/>
    <w:rsid w:val="00E46600"/>
    <w:rsid w:val="00E5293A"/>
    <w:rsid w:val="00E60351"/>
    <w:rsid w:val="00E61ED2"/>
    <w:rsid w:val="00E662C1"/>
    <w:rsid w:val="00E668CE"/>
    <w:rsid w:val="00E679E2"/>
    <w:rsid w:val="00E7034E"/>
    <w:rsid w:val="00E71AE7"/>
    <w:rsid w:val="00E725D4"/>
    <w:rsid w:val="00E752E6"/>
    <w:rsid w:val="00E75318"/>
    <w:rsid w:val="00E77091"/>
    <w:rsid w:val="00E80DCE"/>
    <w:rsid w:val="00E80EAC"/>
    <w:rsid w:val="00E81F13"/>
    <w:rsid w:val="00EA0A2A"/>
    <w:rsid w:val="00EA2DBA"/>
    <w:rsid w:val="00EA2ED5"/>
    <w:rsid w:val="00EA6088"/>
    <w:rsid w:val="00EB112B"/>
    <w:rsid w:val="00EC074A"/>
    <w:rsid w:val="00EC0D48"/>
    <w:rsid w:val="00EC1039"/>
    <w:rsid w:val="00EC1A2C"/>
    <w:rsid w:val="00EC4818"/>
    <w:rsid w:val="00ED0D59"/>
    <w:rsid w:val="00ED1C17"/>
    <w:rsid w:val="00ED2C10"/>
    <w:rsid w:val="00ED739F"/>
    <w:rsid w:val="00EF067E"/>
    <w:rsid w:val="00EF355E"/>
    <w:rsid w:val="00F0071B"/>
    <w:rsid w:val="00F01BB7"/>
    <w:rsid w:val="00F02FD4"/>
    <w:rsid w:val="00F11542"/>
    <w:rsid w:val="00F12B5C"/>
    <w:rsid w:val="00F20A31"/>
    <w:rsid w:val="00F212EB"/>
    <w:rsid w:val="00F23D13"/>
    <w:rsid w:val="00F276CB"/>
    <w:rsid w:val="00F32DEC"/>
    <w:rsid w:val="00F3505C"/>
    <w:rsid w:val="00F43E24"/>
    <w:rsid w:val="00F45561"/>
    <w:rsid w:val="00F465D3"/>
    <w:rsid w:val="00F504B5"/>
    <w:rsid w:val="00F51BD6"/>
    <w:rsid w:val="00F54E91"/>
    <w:rsid w:val="00F56F06"/>
    <w:rsid w:val="00F56F62"/>
    <w:rsid w:val="00F62D48"/>
    <w:rsid w:val="00F63A00"/>
    <w:rsid w:val="00F64248"/>
    <w:rsid w:val="00F676DF"/>
    <w:rsid w:val="00F73815"/>
    <w:rsid w:val="00F7770D"/>
    <w:rsid w:val="00F82C45"/>
    <w:rsid w:val="00F853A8"/>
    <w:rsid w:val="00F905E7"/>
    <w:rsid w:val="00F91FDD"/>
    <w:rsid w:val="00F93115"/>
    <w:rsid w:val="00FA4E32"/>
    <w:rsid w:val="00FA5792"/>
    <w:rsid w:val="00FB04BE"/>
    <w:rsid w:val="00FB200D"/>
    <w:rsid w:val="00FB2177"/>
    <w:rsid w:val="00FB3571"/>
    <w:rsid w:val="00FB4F1D"/>
    <w:rsid w:val="00FB5025"/>
    <w:rsid w:val="00FB53B1"/>
    <w:rsid w:val="00FB6BF4"/>
    <w:rsid w:val="00FB6D17"/>
    <w:rsid w:val="00FC3084"/>
    <w:rsid w:val="00FC5E1D"/>
    <w:rsid w:val="00FD064C"/>
    <w:rsid w:val="00FE259D"/>
    <w:rsid w:val="00FE46A3"/>
    <w:rsid w:val="00FE7EEC"/>
    <w:rsid w:val="00FF0E5A"/>
    <w:rsid w:val="00FF2880"/>
    <w:rsid w:val="00FF490B"/>
    <w:rsid w:val="00FF7C9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7b6c58,#887e6e,#b0a696"/>
    </o:shapedefaults>
    <o:shapelayout v:ext="edit">
      <o:idmap v:ext="edit" data="1"/>
    </o:shapelayout>
  </w:shapeDefaults>
  <w:decimalSymbol w:val=","/>
  <w:listSeparator w:val=";"/>
  <w14:docId w14:val="759FA2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da-DK" w:eastAsia="en-US" w:bidi="ar-SA"/>
      </w:rPr>
    </w:rPrDefault>
    <w:pPrDefault>
      <w:pPr>
        <w:spacing w:before="240" w:after="60"/>
        <w:jc w:val="both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 w:qFormat="1"/>
    <w:lsdException w:name="heading 2" w:locked="0" w:semiHidden="0" w:uiPriority="0" w:unhideWhenUsed="0" w:qFormat="1"/>
    <w:lsdException w:name="heading 3" w:locked="0" w:semiHidden="0" w:uiPriority="0" w:unhideWhenUsed="0" w:qFormat="1"/>
    <w:lsdException w:name="heading 4" w:locked="0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0" w:uiPriority="0"/>
    <w:lsdException w:name="caption" w:locked="0" w:uiPriority="0" w:qFormat="1"/>
    <w:lsdException w:name="footnote reference" w:locked="0" w:uiPriority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locked="0"/>
    <w:lsdException w:name="Strong" w:semiHidden="0" w:uiPriority="0" w:unhideWhenUsed="0" w:qFormat="1"/>
    <w:lsdException w:name="Emphasis" w:locked="0" w:semiHidden="0" w:uiPriority="1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semiHidden="0" w:uiPriority="21" w:unhideWhenUsed="0" w:qFormat="1"/>
    <w:lsdException w:name="Subtle Reference" w:uiPriority="31" w:unhideWhenUsed="0" w:qFormat="1"/>
    <w:lsdException w:name="Intense Reference" w:uiPriority="0" w:unhideWhenUsed="0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ECC Base"/>
    <w:semiHidden/>
    <w:qFormat/>
    <w:rsid w:val="00714F0F"/>
    <w:rPr>
      <w:rFonts w:eastAsia="Calibri"/>
      <w:szCs w:val="22"/>
      <w:lang w:val="en-GB"/>
    </w:rPr>
  </w:style>
  <w:style w:type="paragraph" w:styleId="Titre1">
    <w:name w:val="heading 1"/>
    <w:aliases w:val="ECC Heading 1"/>
    <w:next w:val="Normal"/>
    <w:qFormat/>
    <w:rsid w:val="00A751C0"/>
    <w:pPr>
      <w:keepNext/>
      <w:numPr>
        <w:numId w:val="6"/>
      </w:numPr>
      <w:spacing w:before="600"/>
      <w:ind w:left="431" w:hanging="431"/>
      <w:outlineLvl w:val="0"/>
    </w:pPr>
    <w:rPr>
      <w:rFonts w:cs="Arial"/>
      <w:b/>
      <w:bCs/>
      <w:caps/>
      <w:color w:val="D2232A"/>
      <w:kern w:val="32"/>
      <w:szCs w:val="32"/>
    </w:rPr>
  </w:style>
  <w:style w:type="paragraph" w:styleId="Titre2">
    <w:name w:val="heading 2"/>
    <w:aliases w:val="ECC Heading 2"/>
    <w:next w:val="Normal"/>
    <w:qFormat/>
    <w:rsid w:val="00F51BD6"/>
    <w:pPr>
      <w:keepNext/>
      <w:numPr>
        <w:ilvl w:val="1"/>
        <w:numId w:val="6"/>
      </w:numPr>
      <w:spacing w:before="480"/>
      <w:ind w:left="578" w:hanging="578"/>
      <w:outlineLvl w:val="1"/>
    </w:pPr>
    <w:rPr>
      <w:rFonts w:cs="Arial"/>
      <w:b/>
      <w:bCs/>
      <w:iCs/>
      <w:caps/>
      <w:szCs w:val="28"/>
    </w:rPr>
  </w:style>
  <w:style w:type="paragraph" w:styleId="Titre3">
    <w:name w:val="heading 3"/>
    <w:aliases w:val="ECC Heading 3"/>
    <w:next w:val="Normal"/>
    <w:qFormat/>
    <w:rsid w:val="00E2303A"/>
    <w:pPr>
      <w:keepNext/>
      <w:numPr>
        <w:ilvl w:val="2"/>
        <w:numId w:val="6"/>
      </w:numPr>
      <w:spacing w:before="360"/>
      <w:outlineLvl w:val="2"/>
    </w:pPr>
    <w:rPr>
      <w:rFonts w:cs="Arial"/>
      <w:b/>
      <w:bCs/>
      <w:szCs w:val="26"/>
    </w:rPr>
  </w:style>
  <w:style w:type="paragraph" w:styleId="Titre4">
    <w:name w:val="heading 4"/>
    <w:aliases w:val="ECC Heading 4"/>
    <w:next w:val="Normal"/>
    <w:qFormat/>
    <w:rsid w:val="00F51BD6"/>
    <w:pPr>
      <w:numPr>
        <w:ilvl w:val="3"/>
        <w:numId w:val="6"/>
      </w:numPr>
      <w:spacing w:before="360"/>
      <w:ind w:left="862" w:hanging="862"/>
      <w:outlineLvl w:val="3"/>
    </w:pPr>
    <w:rPr>
      <w:rFonts w:cs="Arial"/>
      <w:bCs/>
      <w:i/>
      <w:color w:val="D2232A"/>
      <w:szCs w:val="26"/>
    </w:rPr>
  </w:style>
  <w:style w:type="paragraph" w:styleId="Titre5">
    <w:name w:val="heading 5"/>
    <w:basedOn w:val="Normal"/>
    <w:next w:val="Normal"/>
    <w:semiHidden/>
    <w:qFormat/>
    <w:locked/>
    <w:rsid w:val="009E47EB"/>
    <w:pPr>
      <w:numPr>
        <w:ilvl w:val="4"/>
        <w:numId w:val="6"/>
      </w:numPr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semiHidden/>
    <w:qFormat/>
    <w:locked/>
    <w:rsid w:val="009E47EB"/>
    <w:pPr>
      <w:numPr>
        <w:ilvl w:val="5"/>
        <w:numId w:val="6"/>
      </w:numPr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semiHidden/>
    <w:qFormat/>
    <w:locked/>
    <w:rsid w:val="009E47EB"/>
    <w:pPr>
      <w:numPr>
        <w:ilvl w:val="6"/>
        <w:numId w:val="6"/>
      </w:numPr>
      <w:outlineLvl w:val="6"/>
    </w:pPr>
    <w:rPr>
      <w:sz w:val="24"/>
    </w:rPr>
  </w:style>
  <w:style w:type="paragraph" w:styleId="Titre8">
    <w:name w:val="heading 8"/>
    <w:basedOn w:val="Normal"/>
    <w:next w:val="Normal"/>
    <w:semiHidden/>
    <w:qFormat/>
    <w:locked/>
    <w:rsid w:val="009E47EB"/>
    <w:pPr>
      <w:numPr>
        <w:ilvl w:val="7"/>
        <w:numId w:val="6"/>
      </w:numPr>
      <w:outlineLvl w:val="7"/>
    </w:pPr>
    <w:rPr>
      <w:i/>
      <w:iCs/>
      <w:sz w:val="24"/>
    </w:rPr>
  </w:style>
  <w:style w:type="paragraph" w:styleId="Titre9">
    <w:name w:val="heading 9"/>
    <w:basedOn w:val="Normal"/>
    <w:next w:val="Normal"/>
    <w:semiHidden/>
    <w:qFormat/>
    <w:locked/>
    <w:rsid w:val="009E47EB"/>
    <w:pPr>
      <w:numPr>
        <w:ilvl w:val="8"/>
        <w:numId w:val="6"/>
      </w:numPr>
      <w:outlineLvl w:val="8"/>
    </w:pPr>
    <w:rPr>
      <w:rFonts w:cs="Arial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CCBulletsLv1">
    <w:name w:val="ECC Bullets Lv1"/>
    <w:basedOn w:val="Normal"/>
    <w:qFormat/>
    <w:rsid w:val="00714F0F"/>
    <w:pPr>
      <w:numPr>
        <w:numId w:val="2"/>
      </w:numPr>
      <w:tabs>
        <w:tab w:val="left" w:pos="340"/>
      </w:tabs>
      <w:spacing w:before="60" w:after="0" w:line="288" w:lineRule="auto"/>
      <w:ind w:left="340" w:hanging="340"/>
      <w:contextualSpacing/>
    </w:pPr>
  </w:style>
  <w:style w:type="paragraph" w:styleId="En-tte">
    <w:name w:val="header"/>
    <w:basedOn w:val="Normal"/>
    <w:semiHidden/>
    <w:locked/>
    <w:rsid w:val="00C95C7C"/>
    <w:pPr>
      <w:tabs>
        <w:tab w:val="center" w:pos="4320"/>
        <w:tab w:val="right" w:pos="8640"/>
      </w:tabs>
    </w:pPr>
    <w:rPr>
      <w:b/>
      <w:sz w:val="16"/>
    </w:rPr>
  </w:style>
  <w:style w:type="paragraph" w:customStyle="1" w:styleId="ECCBox">
    <w:name w:val="ECC Box"/>
    <w:link w:val="ECCBoxZchn"/>
    <w:uiPriority w:val="99"/>
    <w:rsid w:val="0042761F"/>
    <w:pPr>
      <w:keepLines/>
      <w:pBdr>
        <w:top w:val="single" w:sz="12" w:space="4" w:color="auto"/>
        <w:left w:val="single" w:sz="12" w:space="4" w:color="auto"/>
        <w:bottom w:val="single" w:sz="12" w:space="4" w:color="auto"/>
        <w:right w:val="single" w:sz="12" w:space="4" w:color="auto"/>
      </w:pBdr>
      <w:spacing w:before="60"/>
    </w:pPr>
    <w:rPr>
      <w:lang w:eastAsia="de-DE"/>
    </w:rPr>
  </w:style>
  <w:style w:type="paragraph" w:customStyle="1" w:styleId="ECCAnnexheading1">
    <w:name w:val="ECC Annex heading1"/>
    <w:next w:val="Normal"/>
    <w:rsid w:val="00E2303A"/>
    <w:pPr>
      <w:keepNext/>
      <w:pageBreakBefore/>
      <w:numPr>
        <w:numId w:val="1"/>
      </w:numPr>
    </w:pPr>
    <w:rPr>
      <w:b/>
      <w:caps/>
      <w:color w:val="D2232A"/>
    </w:rPr>
  </w:style>
  <w:style w:type="paragraph" w:styleId="TM1">
    <w:name w:val="toc 1"/>
    <w:aliases w:val="ECC Index 1"/>
    <w:basedOn w:val="Normal"/>
    <w:link w:val="TM1Car"/>
    <w:uiPriority w:val="39"/>
    <w:semiHidden/>
    <w:qFormat/>
    <w:rsid w:val="0038287C"/>
    <w:pPr>
      <w:tabs>
        <w:tab w:val="left" w:pos="425"/>
        <w:tab w:val="right" w:leader="dot" w:pos="9639"/>
      </w:tabs>
      <w:spacing w:after="0"/>
      <w:ind w:left="425" w:hanging="425"/>
    </w:pPr>
    <w:rPr>
      <w:b/>
      <w:noProof/>
      <w:szCs w:val="20"/>
      <w:lang w:val="da-DK"/>
    </w:rPr>
  </w:style>
  <w:style w:type="paragraph" w:styleId="Notedebasdepage">
    <w:name w:val="footnote text"/>
    <w:aliases w:val="ECC Footnote"/>
    <w:basedOn w:val="Normal"/>
    <w:link w:val="NotedebasdepageCar"/>
    <w:rsid w:val="001526A2"/>
    <w:pPr>
      <w:widowControl w:val="0"/>
      <w:tabs>
        <w:tab w:val="left" w:pos="284"/>
      </w:tabs>
      <w:spacing w:after="0"/>
      <w:ind w:left="284" w:hanging="284"/>
    </w:pPr>
    <w:rPr>
      <w:sz w:val="16"/>
      <w:szCs w:val="16"/>
      <w:lang w:val="da-DK"/>
      <w14:cntxtAlts/>
    </w:rPr>
  </w:style>
  <w:style w:type="paragraph" w:styleId="TM2">
    <w:name w:val="toc 2"/>
    <w:aliases w:val="ECC Index 2"/>
    <w:basedOn w:val="Normal"/>
    <w:uiPriority w:val="39"/>
    <w:semiHidden/>
    <w:qFormat/>
    <w:rsid w:val="0038287C"/>
    <w:pPr>
      <w:tabs>
        <w:tab w:val="left" w:pos="993"/>
        <w:tab w:val="right" w:leader="dot" w:pos="9639"/>
      </w:tabs>
      <w:spacing w:before="0" w:after="0"/>
      <w:ind w:left="992" w:hanging="567"/>
    </w:pPr>
    <w:rPr>
      <w:noProof/>
      <w:szCs w:val="20"/>
      <w:lang w:val="da-DK"/>
    </w:rPr>
  </w:style>
  <w:style w:type="paragraph" w:styleId="TM3">
    <w:name w:val="toc 3"/>
    <w:aliases w:val="ECC Index 3"/>
    <w:basedOn w:val="Normal"/>
    <w:uiPriority w:val="39"/>
    <w:semiHidden/>
    <w:qFormat/>
    <w:rsid w:val="0038287C"/>
    <w:pPr>
      <w:tabs>
        <w:tab w:val="left" w:pos="1701"/>
        <w:tab w:val="right" w:leader="dot" w:pos="9639"/>
      </w:tabs>
      <w:spacing w:before="0" w:after="0"/>
      <w:ind w:left="1701" w:hanging="709"/>
    </w:pPr>
    <w:rPr>
      <w:noProof/>
      <w:szCs w:val="20"/>
      <w:lang w:val="da-DK"/>
    </w:rPr>
  </w:style>
  <w:style w:type="paragraph" w:styleId="TM4">
    <w:name w:val="toc 4"/>
    <w:aliases w:val="ECC Index 4"/>
    <w:basedOn w:val="Normal"/>
    <w:uiPriority w:val="39"/>
    <w:semiHidden/>
    <w:rsid w:val="0038287C"/>
    <w:pPr>
      <w:tabs>
        <w:tab w:val="left" w:pos="2552"/>
        <w:tab w:val="right" w:leader="dot" w:pos="9639"/>
      </w:tabs>
      <w:spacing w:before="0" w:after="0"/>
      <w:ind w:left="2552" w:hanging="851"/>
    </w:pPr>
    <w:rPr>
      <w:noProof/>
      <w:szCs w:val="20"/>
      <w:lang w:val="da-DK"/>
    </w:rPr>
  </w:style>
  <w:style w:type="character" w:customStyle="1" w:styleId="ECCHLgreen">
    <w:name w:val="ECC HL green"/>
    <w:basedOn w:val="Policepardfaut"/>
    <w:uiPriority w:val="1"/>
    <w:qFormat/>
    <w:rsid w:val="0038287C"/>
    <w:rPr>
      <w:bdr w:val="none" w:sz="0" w:space="0" w:color="auto"/>
      <w:shd w:val="solid" w:color="92D050" w:fill="auto"/>
      <w:lang w:val="en-GB"/>
    </w:rPr>
  </w:style>
  <w:style w:type="character" w:customStyle="1" w:styleId="NotedebasdepageCar">
    <w:name w:val="Note de bas de page Car"/>
    <w:aliases w:val="ECC Footnote Car"/>
    <w:basedOn w:val="Policepardfaut"/>
    <w:link w:val="Notedebasdepage"/>
    <w:rsid w:val="001526A2"/>
    <w:rPr>
      <w:rFonts w:eastAsia="Calibri"/>
      <w:sz w:val="16"/>
      <w:szCs w:val="16"/>
      <w14:cntxtAlts/>
    </w:rPr>
  </w:style>
  <w:style w:type="character" w:styleId="Appelnotedebasdep">
    <w:name w:val="footnote reference"/>
    <w:aliases w:val="ECC Footnote number"/>
    <w:basedOn w:val="Policepardfaut"/>
    <w:rsid w:val="00DB17F9"/>
    <w:rPr>
      <w:rFonts w:ascii="Arial" w:hAnsi="Arial"/>
      <w:sz w:val="20"/>
      <w:vertAlign w:val="superscript"/>
    </w:rPr>
  </w:style>
  <w:style w:type="paragraph" w:styleId="Lgende">
    <w:name w:val="caption"/>
    <w:aliases w:val="ECC Caption"/>
    <w:next w:val="Normal"/>
    <w:qFormat/>
    <w:rsid w:val="0038287C"/>
    <w:pPr>
      <w:keepLines/>
      <w:tabs>
        <w:tab w:val="left" w:pos="0"/>
        <w:tab w:val="center" w:pos="4820"/>
        <w:tab w:val="right" w:pos="9639"/>
      </w:tabs>
      <w:spacing w:after="240"/>
      <w:contextualSpacing/>
      <w:jc w:val="center"/>
    </w:pPr>
    <w:rPr>
      <w:b/>
      <w:bCs/>
      <w:color w:val="D2232A"/>
    </w:rPr>
  </w:style>
  <w:style w:type="paragraph" w:customStyle="1" w:styleId="ECCTablenote">
    <w:name w:val="ECC Table note"/>
    <w:qFormat/>
    <w:rsid w:val="00714F0F"/>
    <w:pPr>
      <w:spacing w:before="0"/>
      <w:ind w:left="284" w:hanging="284"/>
    </w:pPr>
    <w:rPr>
      <w:sz w:val="16"/>
      <w:szCs w:val="16"/>
      <w:lang w:val="en-GB"/>
    </w:rPr>
  </w:style>
  <w:style w:type="paragraph" w:customStyle="1" w:styleId="ECCBulletsLv2">
    <w:name w:val="ECC Bullets Lv2"/>
    <w:basedOn w:val="ECCBulletsLv1"/>
    <w:rsid w:val="00E36601"/>
    <w:pPr>
      <w:tabs>
        <w:tab w:val="clear" w:pos="340"/>
        <w:tab w:val="left" w:pos="680"/>
      </w:tabs>
      <w:ind w:left="680"/>
    </w:pPr>
  </w:style>
  <w:style w:type="paragraph" w:customStyle="1" w:styleId="ECCAnnexheading2">
    <w:name w:val="ECC Annex heading2"/>
    <w:next w:val="Normal"/>
    <w:rsid w:val="00E2303A"/>
    <w:pPr>
      <w:numPr>
        <w:ilvl w:val="1"/>
        <w:numId w:val="1"/>
      </w:numPr>
      <w:overflowPunct w:val="0"/>
      <w:autoSpaceDE w:val="0"/>
      <w:autoSpaceDN w:val="0"/>
      <w:adjustRightInd w:val="0"/>
      <w:spacing w:before="480" w:after="240"/>
      <w:textAlignment w:val="baseline"/>
    </w:pPr>
    <w:rPr>
      <w:b/>
      <w:caps/>
    </w:rPr>
  </w:style>
  <w:style w:type="paragraph" w:customStyle="1" w:styleId="ECCAnnexheading3">
    <w:name w:val="ECC Annex heading3"/>
    <w:next w:val="Normal"/>
    <w:rsid w:val="0001112E"/>
    <w:pPr>
      <w:numPr>
        <w:ilvl w:val="2"/>
        <w:numId w:val="1"/>
      </w:numPr>
      <w:overflowPunct w:val="0"/>
      <w:autoSpaceDE w:val="0"/>
      <w:autoSpaceDN w:val="0"/>
      <w:adjustRightInd w:val="0"/>
      <w:spacing w:before="360"/>
      <w:textAlignment w:val="baseline"/>
    </w:pPr>
    <w:rPr>
      <w:b/>
    </w:rPr>
  </w:style>
  <w:style w:type="paragraph" w:customStyle="1" w:styleId="ECCAnnexheading4">
    <w:name w:val="ECC Annex heading4"/>
    <w:next w:val="Normal"/>
    <w:rsid w:val="00E2303A"/>
    <w:pPr>
      <w:numPr>
        <w:ilvl w:val="3"/>
        <w:numId w:val="1"/>
      </w:numPr>
      <w:overflowPunct w:val="0"/>
      <w:autoSpaceDE w:val="0"/>
      <w:autoSpaceDN w:val="0"/>
      <w:adjustRightInd w:val="0"/>
      <w:spacing w:before="360"/>
      <w:textAlignment w:val="baseline"/>
    </w:pPr>
    <w:rPr>
      <w:i/>
      <w:color w:val="D2232A"/>
    </w:rPr>
  </w:style>
  <w:style w:type="paragraph" w:customStyle="1" w:styleId="ECCBulletsLv3">
    <w:name w:val="ECC Bullets Lv3"/>
    <w:basedOn w:val="ECCBulletsLv1"/>
    <w:rsid w:val="00E36601"/>
    <w:pPr>
      <w:tabs>
        <w:tab w:val="clear" w:pos="340"/>
        <w:tab w:val="left" w:pos="1021"/>
      </w:tabs>
      <w:ind w:left="1020"/>
    </w:pPr>
  </w:style>
  <w:style w:type="paragraph" w:customStyle="1" w:styleId="ECCStatement">
    <w:name w:val="ECC Statement"/>
    <w:basedOn w:val="Normal"/>
    <w:rsid w:val="0038287C"/>
    <w:rPr>
      <w:i/>
    </w:rPr>
  </w:style>
  <w:style w:type="paragraph" w:customStyle="1" w:styleId="ECCLetteredList">
    <w:name w:val="ECC Lettered List"/>
    <w:rsid w:val="00F51BD6"/>
    <w:pPr>
      <w:numPr>
        <w:ilvl w:val="1"/>
        <w:numId w:val="3"/>
      </w:numPr>
      <w:spacing w:after="0"/>
    </w:pPr>
  </w:style>
  <w:style w:type="paragraph" w:customStyle="1" w:styleId="ECCNumberedList">
    <w:name w:val="ECC Numbered List"/>
    <w:basedOn w:val="Normal"/>
    <w:rsid w:val="00714F0F"/>
    <w:pPr>
      <w:numPr>
        <w:numId w:val="4"/>
      </w:numPr>
      <w:spacing w:after="0"/>
    </w:pPr>
    <w:rPr>
      <w:szCs w:val="20"/>
    </w:rPr>
  </w:style>
  <w:style w:type="paragraph" w:customStyle="1" w:styleId="ECCReference">
    <w:name w:val="ECC Reference"/>
    <w:basedOn w:val="Normal"/>
    <w:rsid w:val="0038287C"/>
    <w:pPr>
      <w:numPr>
        <w:numId w:val="5"/>
      </w:numPr>
      <w:spacing w:before="0" w:after="0"/>
    </w:pPr>
    <w:rPr>
      <w:lang w:eastAsia="ja-JP"/>
    </w:rPr>
  </w:style>
  <w:style w:type="paragraph" w:styleId="Textedebulles">
    <w:name w:val="Balloon Text"/>
    <w:basedOn w:val="Normal"/>
    <w:link w:val="TextedebullesCar"/>
    <w:uiPriority w:val="99"/>
    <w:semiHidden/>
    <w:unhideWhenUsed/>
    <w:locked/>
    <w:rsid w:val="009E47EB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47EB"/>
    <w:rPr>
      <w:rFonts w:ascii="Lucida Grande" w:hAnsi="Lucida Grande" w:cs="Lucida Grande"/>
      <w:sz w:val="18"/>
      <w:szCs w:val="18"/>
      <w:lang w:val="en-US"/>
    </w:rPr>
  </w:style>
  <w:style w:type="paragraph" w:customStyle="1" w:styleId="ECCEditorsNote">
    <w:name w:val="ECC Editor's Note"/>
    <w:next w:val="Normal"/>
    <w:rsid w:val="00C512DE"/>
    <w:pPr>
      <w:numPr>
        <w:numId w:val="9"/>
      </w:numPr>
      <w:shd w:val="solid" w:color="FFFF00" w:fill="auto"/>
      <w:spacing w:before="120"/>
    </w:pPr>
    <w:rPr>
      <w:rFonts w:eastAsia="Calibri"/>
      <w:szCs w:val="22"/>
      <w:lang w:eastAsia="de-DE"/>
    </w:rPr>
  </w:style>
  <w:style w:type="paragraph" w:customStyle="1" w:styleId="ECCpageHeader">
    <w:name w:val="ECC page Header"/>
    <w:rsid w:val="00E36601"/>
    <w:pPr>
      <w:tabs>
        <w:tab w:val="left" w:pos="0"/>
        <w:tab w:val="center" w:pos="4820"/>
        <w:tab w:val="right" w:pos="9639"/>
      </w:tabs>
      <w:spacing w:before="0" w:after="0"/>
    </w:pPr>
    <w:rPr>
      <w:b/>
      <w:sz w:val="16"/>
    </w:rPr>
  </w:style>
  <w:style w:type="paragraph" w:customStyle="1" w:styleId="ECCFiguregraphcentered">
    <w:name w:val="ECC Figure/graph centered"/>
    <w:next w:val="Normal"/>
    <w:rsid w:val="00283417"/>
    <w:pPr>
      <w:spacing w:after="240"/>
      <w:jc w:val="center"/>
    </w:pPr>
    <w:rPr>
      <w:noProof/>
      <w:lang w:val="de-DE" w:eastAsia="de-DE"/>
      <w14:cntxtAlts/>
    </w:rPr>
  </w:style>
  <w:style w:type="paragraph" w:customStyle="1" w:styleId="ECCLetterHead">
    <w:name w:val="ECC Letter Head"/>
    <w:basedOn w:val="Normal"/>
    <w:link w:val="ECCLetterHeadZchn"/>
    <w:qFormat/>
    <w:rsid w:val="0038287C"/>
    <w:pPr>
      <w:tabs>
        <w:tab w:val="right" w:pos="4750"/>
      </w:tabs>
      <w:spacing w:before="120"/>
    </w:pPr>
    <w:rPr>
      <w:b/>
      <w:sz w:val="22"/>
      <w:szCs w:val="20"/>
    </w:rPr>
  </w:style>
  <w:style w:type="character" w:customStyle="1" w:styleId="ECCHLyellow">
    <w:name w:val="ECC HL yellow"/>
    <w:basedOn w:val="Policepardfaut"/>
    <w:uiPriority w:val="1"/>
    <w:qFormat/>
    <w:rsid w:val="0038287C"/>
    <w:rPr>
      <w:rFonts w:eastAsia="Calibri"/>
      <w:i w:val="0"/>
      <w:szCs w:val="22"/>
      <w:bdr w:val="none" w:sz="0" w:space="0" w:color="auto"/>
      <w:shd w:val="solid" w:color="FFFF00" w:fill="auto"/>
      <w:lang w:val="en-GB"/>
    </w:rPr>
  </w:style>
  <w:style w:type="paragraph" w:customStyle="1" w:styleId="ECCTableHeaderwhitefont">
    <w:name w:val="ECC Table Header white font"/>
    <w:basedOn w:val="ECCTableHeaderredfont"/>
    <w:qFormat/>
    <w:rsid w:val="0038287C"/>
    <w:pPr>
      <w:spacing w:after="120"/>
      <w:jc w:val="center"/>
    </w:pPr>
    <w:rPr>
      <w:color w:val="FFFFFF" w:themeColor="background1"/>
    </w:rPr>
  </w:style>
  <w:style w:type="paragraph" w:customStyle="1" w:styleId="ECCTabletext">
    <w:name w:val="ECC Table text"/>
    <w:basedOn w:val="Normal"/>
    <w:qFormat/>
    <w:rsid w:val="00714F0F"/>
    <w:pPr>
      <w:spacing w:before="60"/>
    </w:pPr>
  </w:style>
  <w:style w:type="paragraph" w:styleId="Signature">
    <w:name w:val="Signature"/>
    <w:basedOn w:val="Normal"/>
    <w:link w:val="SignatureCar"/>
    <w:uiPriority w:val="99"/>
    <w:semiHidden/>
    <w:unhideWhenUsed/>
    <w:locked/>
    <w:rsid w:val="007D52EC"/>
    <w:pPr>
      <w:spacing w:before="0" w:after="0"/>
      <w:ind w:left="4252"/>
    </w:pPr>
  </w:style>
  <w:style w:type="paragraph" w:customStyle="1" w:styleId="ECCTableHeaderredfont">
    <w:name w:val="ECC Table Header red font"/>
    <w:qFormat/>
    <w:rsid w:val="0038287C"/>
    <w:pPr>
      <w:spacing w:before="120"/>
    </w:pPr>
    <w:rPr>
      <w:bCs/>
      <w:color w:val="D2232A"/>
      <w:lang w:val="en-GB"/>
    </w:rPr>
  </w:style>
  <w:style w:type="character" w:customStyle="1" w:styleId="SignatureCar">
    <w:name w:val="Signature Car"/>
    <w:basedOn w:val="Policepardfaut"/>
    <w:link w:val="Signature"/>
    <w:uiPriority w:val="99"/>
    <w:semiHidden/>
    <w:rsid w:val="007D52EC"/>
  </w:style>
  <w:style w:type="paragraph" w:customStyle="1" w:styleId="ECCpageFooter">
    <w:name w:val="ECC page Footer"/>
    <w:rsid w:val="00E36601"/>
    <w:pPr>
      <w:tabs>
        <w:tab w:val="left" w:pos="0"/>
        <w:tab w:val="center" w:pos="4820"/>
        <w:tab w:val="right" w:pos="9639"/>
      </w:tabs>
      <w:spacing w:before="0" w:after="0"/>
    </w:pPr>
    <w:rPr>
      <w:b/>
      <w:sz w:val="16"/>
      <w:szCs w:val="22"/>
      <w:lang w:val="de-DE" w:eastAsia="de-DE"/>
    </w:rPr>
  </w:style>
  <w:style w:type="character" w:customStyle="1" w:styleId="ECCBoxZchn">
    <w:name w:val="ECC Box Zchn"/>
    <w:link w:val="ECCBox"/>
    <w:uiPriority w:val="99"/>
    <w:rsid w:val="0042761F"/>
    <w:rPr>
      <w:szCs w:val="22"/>
      <w:lang w:val="en-GB" w:eastAsia="de-DE"/>
    </w:rPr>
  </w:style>
  <w:style w:type="character" w:customStyle="1" w:styleId="ECCHLbold">
    <w:name w:val="ECC HL bold"/>
    <w:basedOn w:val="lev"/>
    <w:uiPriority w:val="1"/>
    <w:qFormat/>
    <w:rsid w:val="0038287C"/>
    <w:rPr>
      <w:b/>
      <w:bCs/>
    </w:rPr>
  </w:style>
  <w:style w:type="character" w:styleId="Accentuation">
    <w:name w:val="Emphasis"/>
    <w:aliases w:val="ECC HL italics"/>
    <w:basedOn w:val="Policepardfaut"/>
    <w:uiPriority w:val="1"/>
    <w:qFormat/>
    <w:rsid w:val="00DB17F9"/>
    <w:rPr>
      <w:i/>
    </w:rPr>
  </w:style>
  <w:style w:type="character" w:customStyle="1" w:styleId="TM1Car">
    <w:name w:val="TM 1 Car"/>
    <w:aliases w:val="ECC Index 1 Car"/>
    <w:basedOn w:val="Policepardfaut"/>
    <w:link w:val="TM1"/>
    <w:uiPriority w:val="39"/>
    <w:semiHidden/>
    <w:rsid w:val="00D3663D"/>
    <w:rPr>
      <w:rFonts w:eastAsia="Calibri"/>
      <w:b/>
      <w:noProof/>
    </w:rPr>
  </w:style>
  <w:style w:type="paragraph" w:styleId="En-ttedetabledesmatires">
    <w:name w:val="TOC Heading"/>
    <w:basedOn w:val="Titre1"/>
    <w:next w:val="Normal"/>
    <w:uiPriority w:val="39"/>
    <w:semiHidden/>
    <w:qFormat/>
    <w:locked/>
    <w:rsid w:val="003A5711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  <w:lang w:val="en-GB"/>
    </w:rPr>
  </w:style>
  <w:style w:type="character" w:customStyle="1" w:styleId="ECCHLcyan">
    <w:name w:val="ECC HL cyan"/>
    <w:basedOn w:val="Policepardfaut"/>
    <w:uiPriority w:val="1"/>
    <w:qFormat/>
    <w:rsid w:val="0038287C"/>
    <w:rPr>
      <w:iCs w:val="0"/>
      <w:bdr w:val="none" w:sz="0" w:space="0" w:color="auto"/>
      <w:shd w:val="solid" w:color="00FFFF" w:fill="auto"/>
      <w:lang w:val="en-GB"/>
    </w:rPr>
  </w:style>
  <w:style w:type="character" w:customStyle="1" w:styleId="ECCHLorange">
    <w:name w:val="ECC HL orange"/>
    <w:basedOn w:val="Policepardfaut"/>
    <w:uiPriority w:val="1"/>
    <w:qFormat/>
    <w:rsid w:val="0038287C"/>
    <w:rPr>
      <w:bdr w:val="none" w:sz="0" w:space="0" w:color="auto"/>
      <w:shd w:val="solid" w:color="FFC000" w:fill="auto"/>
    </w:rPr>
  </w:style>
  <w:style w:type="character" w:customStyle="1" w:styleId="ECCHLblue">
    <w:name w:val="ECC HL blue"/>
    <w:basedOn w:val="Policepardfaut"/>
    <w:uiPriority w:val="1"/>
    <w:qFormat/>
    <w:rsid w:val="0038287C"/>
    <w:rPr>
      <w:rFonts w:eastAsia="Calibri"/>
      <w:color w:val="FFFF00"/>
      <w:szCs w:val="22"/>
      <w:bdr w:val="none" w:sz="0" w:space="0" w:color="auto"/>
      <w:shd w:val="solid" w:color="4F81BD" w:themeColor="accent1" w:fill="auto"/>
      <w:lang w:val="en-GB"/>
    </w:rPr>
  </w:style>
  <w:style w:type="character" w:customStyle="1" w:styleId="ECCHLpetrol">
    <w:name w:val="ECC HL petrol"/>
    <w:basedOn w:val="Policepardfaut"/>
    <w:uiPriority w:val="1"/>
    <w:qFormat/>
    <w:rsid w:val="0038287C"/>
    <w:rPr>
      <w:iCs w:val="0"/>
      <w:color w:val="FFFFFF" w:themeColor="background1"/>
      <w:bdr w:val="none" w:sz="0" w:space="0" w:color="auto"/>
      <w:shd w:val="solid" w:color="008080" w:fill="auto"/>
    </w:rPr>
  </w:style>
  <w:style w:type="paragraph" w:styleId="Paragraphedeliste">
    <w:name w:val="List Paragraph"/>
    <w:basedOn w:val="Normal"/>
    <w:uiPriority w:val="34"/>
    <w:semiHidden/>
    <w:qFormat/>
    <w:locked/>
    <w:rsid w:val="005C5A96"/>
    <w:pPr>
      <w:ind w:left="720"/>
      <w:contextualSpacing/>
    </w:pPr>
  </w:style>
  <w:style w:type="character" w:customStyle="1" w:styleId="ECCHLsubscript">
    <w:name w:val="ECC HL subscript"/>
    <w:uiPriority w:val="1"/>
    <w:qFormat/>
    <w:rsid w:val="0038287C"/>
    <w:rPr>
      <w:vertAlign w:val="subscript"/>
    </w:rPr>
  </w:style>
  <w:style w:type="character" w:customStyle="1" w:styleId="ECCHLsuperscript">
    <w:name w:val="ECC HL superscript"/>
    <w:uiPriority w:val="1"/>
    <w:qFormat/>
    <w:rsid w:val="0038287C"/>
    <w:rPr>
      <w:vertAlign w:val="superscript"/>
    </w:rPr>
  </w:style>
  <w:style w:type="character" w:customStyle="1" w:styleId="ECCLetterHeadZchn">
    <w:name w:val="ECC Letter Head Zchn"/>
    <w:basedOn w:val="Policepardfaut"/>
    <w:link w:val="ECCLetterHead"/>
    <w:rsid w:val="00263FFB"/>
    <w:rPr>
      <w:rFonts w:eastAsia="Calibri"/>
      <w:b/>
      <w:sz w:val="22"/>
      <w:lang w:val="en-GB"/>
    </w:rPr>
  </w:style>
  <w:style w:type="character" w:customStyle="1" w:styleId="ECCHLmagenta">
    <w:name w:val="ECC HL magenta"/>
    <w:basedOn w:val="Policepardfaut"/>
    <w:uiPriority w:val="1"/>
    <w:qFormat/>
    <w:rsid w:val="0038287C"/>
    <w:rPr>
      <w:color w:val="auto"/>
      <w:bdr w:val="none" w:sz="0" w:space="0" w:color="auto"/>
      <w:shd w:val="solid" w:color="FF3399" w:fill="auto"/>
      <w:lang w:val="en-GB"/>
    </w:rPr>
  </w:style>
  <w:style w:type="character" w:customStyle="1" w:styleId="ECCHLbrown">
    <w:name w:val="ECC HL brown"/>
    <w:basedOn w:val="Policepardfaut"/>
    <w:uiPriority w:val="1"/>
    <w:qFormat/>
    <w:rsid w:val="0038287C"/>
    <w:rPr>
      <w:color w:val="D9D9D9" w:themeColor="background1" w:themeShade="D9"/>
      <w:bdr w:val="none" w:sz="0" w:space="0" w:color="auto"/>
      <w:shd w:val="solid" w:color="B95807" w:fill="auto"/>
    </w:rPr>
  </w:style>
  <w:style w:type="character" w:styleId="Lienhypertexte">
    <w:name w:val="Hyperlink"/>
    <w:aliases w:val="ECC Hyperlink"/>
    <w:basedOn w:val="Policepardfaut"/>
    <w:uiPriority w:val="99"/>
    <w:rsid w:val="00DB17F9"/>
    <w:rPr>
      <w:color w:val="0000FF" w:themeColor="hyperlink"/>
      <w:u w:val="single"/>
    </w:rPr>
  </w:style>
  <w:style w:type="paragraph" w:customStyle="1" w:styleId="ECCHeadingnonumbering">
    <w:name w:val="ECC Heading no numbering"/>
    <w:basedOn w:val="Titre1"/>
    <w:rsid w:val="00DB17F9"/>
    <w:pPr>
      <w:numPr>
        <w:numId w:val="0"/>
      </w:numPr>
      <w:tabs>
        <w:tab w:val="left" w:pos="0"/>
        <w:tab w:val="center" w:pos="4820"/>
        <w:tab w:val="right" w:pos="9639"/>
      </w:tabs>
    </w:pPr>
  </w:style>
  <w:style w:type="character" w:customStyle="1" w:styleId="ECCParagraph">
    <w:name w:val="ECC Paragraph"/>
    <w:basedOn w:val="Policepardfaut"/>
    <w:uiPriority w:val="1"/>
    <w:qFormat/>
    <w:rsid w:val="0038287C"/>
    <w:rPr>
      <w:rFonts w:ascii="Arial" w:hAnsi="Arial"/>
      <w:noProof w:val="0"/>
      <w:sz w:val="20"/>
      <w:bdr w:val="none" w:sz="0" w:space="0" w:color="auto"/>
      <w:lang w:val="en-GB"/>
    </w:rPr>
  </w:style>
  <w:style w:type="character" w:customStyle="1" w:styleId="ECCHLunderlined">
    <w:name w:val="ECC HL underlined"/>
    <w:uiPriority w:val="1"/>
    <w:qFormat/>
    <w:rsid w:val="0038287C"/>
    <w:rPr>
      <w:u w:val="single"/>
    </w:rPr>
  </w:style>
  <w:style w:type="table" w:styleId="Grillecouleur">
    <w:name w:val="Colorful Grid"/>
    <w:basedOn w:val="TableauNormal"/>
    <w:uiPriority w:val="73"/>
    <w:locked/>
    <w:rsid w:val="00F23D1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Tableausimple1">
    <w:name w:val="Table Simple 1"/>
    <w:basedOn w:val="TableauNormal"/>
    <w:uiPriority w:val="99"/>
    <w:semiHidden/>
    <w:unhideWhenUsed/>
    <w:locked/>
    <w:rsid w:val="00DB17F9"/>
    <w:pPr>
      <w:shd w:val="clear" w:color="FFFFFF" w:themeColor="background1" w:fill="auto"/>
      <w:spacing w:after="240"/>
      <w:textboxTightWrap w:val="lastLineOnly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Grillecouleur-Accent6">
    <w:name w:val="Colorful Grid Accent 6"/>
    <w:basedOn w:val="TableauNormal"/>
    <w:uiPriority w:val="73"/>
    <w:locked/>
    <w:rsid w:val="00F23D1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ECCTable-whiteheader">
    <w:name w:val="ECC Table - white header"/>
    <w:basedOn w:val="ECCTable-clean"/>
    <w:uiPriority w:val="99"/>
    <w:rsid w:val="0038287C"/>
    <w:tblPr>
      <w:tblBorders>
        <w:top w:val="single" w:sz="4" w:space="0" w:color="D22A23"/>
        <w:left w:val="single" w:sz="4" w:space="0" w:color="D22A23"/>
        <w:bottom w:val="single" w:sz="4" w:space="0" w:color="D22A23"/>
        <w:right w:val="single" w:sz="4" w:space="0" w:color="D22A23"/>
        <w:insideH w:val="single" w:sz="4" w:space="0" w:color="D22A23"/>
        <w:insideV w:val="single" w:sz="4" w:space="0" w:color="D22A23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jc w:val="left"/>
      </w:pPr>
      <w:rPr>
        <w:rFonts w:ascii="Arial" w:hAnsi="Arial"/>
        <w:b/>
        <w:i/>
        <w:color w:val="D22A23"/>
        <w:sz w:val="20"/>
      </w:rPr>
      <w:tblPr/>
      <w:trPr>
        <w:tblHeader/>
      </w:trPr>
      <w:tcPr>
        <w:shd w:val="clear" w:color="auto" w:fill="FFFFFF" w:themeFill="background1"/>
      </w:tcPr>
    </w:tblStylePr>
    <w:tblStylePr w:type="lastRow">
      <w:rPr>
        <w:b w:val="0"/>
      </w:rPr>
    </w:tblStylePr>
  </w:style>
  <w:style w:type="table" w:customStyle="1" w:styleId="ECCTable-redheader">
    <w:name w:val="ECC Table - red header"/>
    <w:basedOn w:val="ECCTable-clean"/>
    <w:uiPriority w:val="99"/>
    <w:rsid w:val="0038287C"/>
    <w:tblPr>
      <w:tblBorders>
        <w:top w:val="single" w:sz="4" w:space="0" w:color="D22A23"/>
        <w:left w:val="single" w:sz="4" w:space="0" w:color="D22A23"/>
        <w:bottom w:val="single" w:sz="4" w:space="0" w:color="D22A23"/>
        <w:right w:val="single" w:sz="4" w:space="0" w:color="D22A23"/>
        <w:insideH w:val="single" w:sz="4" w:space="0" w:color="D22A23"/>
        <w:insideV w:val="single" w:sz="4" w:space="0" w:color="D22A23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jc w:val="center"/>
      </w:pPr>
      <w:rPr>
        <w:b/>
        <w:i/>
        <w:color w:val="FFFFFF" w:themeColor="background1"/>
      </w:rPr>
      <w:tblPr/>
      <w:trPr>
        <w:tblHeader/>
      </w:trPr>
      <w:tcPr>
        <w:tcBorders>
          <w:top w:val="single" w:sz="4" w:space="0" w:color="D22A23"/>
          <w:left w:val="single" w:sz="4" w:space="0" w:color="D22A23"/>
          <w:bottom w:val="single" w:sz="4" w:space="0" w:color="D22A23"/>
          <w:right w:val="single" w:sz="4" w:space="0" w:color="D22A23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D22A23"/>
        <w:vAlign w:val="center"/>
      </w:tcPr>
    </w:tblStylePr>
  </w:style>
  <w:style w:type="table" w:customStyle="1" w:styleId="ECCTable-clean">
    <w:name w:val="ECC Table - clean"/>
    <w:uiPriority w:val="99"/>
    <w:rsid w:val="0038287C"/>
    <w:pPr>
      <w:spacing w:before="60"/>
    </w:pPr>
    <w:rPr>
      <w:rFonts w:eastAsia="Calibri"/>
      <w:lang w:val="de-DE" w:eastAsia="de-DE"/>
    </w:rPr>
    <w:tblPr>
      <w:tblStyleRowBandSize w:val="1"/>
      <w:jc w:val="center"/>
      <w:tblCellMar>
        <w:top w:w="57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  <w:jc w:val="left"/>
      </w:pPr>
      <w:rPr>
        <w:i/>
      </w:rPr>
      <w:tblPr/>
      <w:trPr>
        <w:tblHeader/>
      </w:trPr>
    </w:tblStylePr>
  </w:style>
  <w:style w:type="character" w:customStyle="1" w:styleId="ECCHLgrey">
    <w:name w:val="ECC HL grey"/>
    <w:uiPriority w:val="1"/>
    <w:qFormat/>
    <w:rsid w:val="0038287C"/>
    <w:rPr>
      <w:bdr w:val="none" w:sz="0" w:space="0" w:color="auto"/>
      <w:shd w:val="solid" w:color="BFBFBF" w:themeColor="background1" w:themeShade="BF" w:fill="auto"/>
    </w:rPr>
  </w:style>
  <w:style w:type="table" w:styleId="Grilledutableau">
    <w:name w:val="Table Grid"/>
    <w:basedOn w:val="TableauNormal"/>
    <w:locked/>
    <w:rsid w:val="00D0668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semiHidden/>
    <w:qFormat/>
    <w:locked/>
    <w:rsid w:val="0038287C"/>
    <w:rPr>
      <w:b/>
      <w:bCs/>
    </w:rPr>
  </w:style>
  <w:style w:type="paragraph" w:customStyle="1" w:styleId="ECCBreak">
    <w:name w:val="ECC Break"/>
    <w:link w:val="ECCBreakZchn"/>
    <w:rsid w:val="0042761F"/>
    <w:pPr>
      <w:spacing w:before="360"/>
      <w:jc w:val="left"/>
    </w:pPr>
    <w:rPr>
      <w:b/>
      <w:bCs/>
      <w:iCs/>
      <w:caps/>
      <w:szCs w:val="28"/>
    </w:rPr>
  </w:style>
  <w:style w:type="character" w:customStyle="1" w:styleId="ECCBreakZchn">
    <w:name w:val="ECC Break Zchn"/>
    <w:basedOn w:val="Policepardfaut"/>
    <w:link w:val="ECCBreak"/>
    <w:rsid w:val="0042761F"/>
    <w:rPr>
      <w:b/>
      <w:bCs/>
      <w:iCs/>
      <w:caps/>
      <w:szCs w:val="28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DE63C7"/>
    <w:rPr>
      <w:color w:val="605E5C"/>
      <w:shd w:val="clear" w:color="auto" w:fill="E1DFDD"/>
    </w:rPr>
  </w:style>
  <w:style w:type="paragraph" w:styleId="Pieddepage">
    <w:name w:val="footer"/>
    <w:basedOn w:val="Normal"/>
    <w:link w:val="PieddepageCar"/>
    <w:uiPriority w:val="99"/>
    <w:unhideWhenUsed/>
    <w:locked/>
    <w:rsid w:val="00C320F6"/>
    <w:pPr>
      <w:tabs>
        <w:tab w:val="center" w:pos="4513"/>
        <w:tab w:val="right" w:pos="9026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C320F6"/>
    <w:rPr>
      <w:rFonts w:eastAsia="Calibri"/>
      <w:szCs w:val="22"/>
      <w:lang w:val="en-GB"/>
    </w:rPr>
  </w:style>
  <w:style w:type="character" w:styleId="Lienhypertextesuivivisit">
    <w:name w:val="FollowedHyperlink"/>
    <w:basedOn w:val="Policepardfaut"/>
    <w:uiPriority w:val="99"/>
    <w:semiHidden/>
    <w:unhideWhenUsed/>
    <w:locked/>
    <w:rsid w:val="00285967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locked/>
    <w:rsid w:val="001F4AC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locked/>
    <w:rsid w:val="001F4AC2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F4AC2"/>
    <w:rPr>
      <w:rFonts w:eastAsia="Calibri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locked/>
    <w:rsid w:val="001F4AC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F4AC2"/>
    <w:rPr>
      <w:rFonts w:eastAsia="Calibri"/>
      <w:b/>
      <w:bCs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da-DK" w:eastAsia="en-US" w:bidi="ar-SA"/>
      </w:rPr>
    </w:rPrDefault>
    <w:pPrDefault>
      <w:pPr>
        <w:spacing w:before="240" w:after="60"/>
        <w:jc w:val="both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 w:qFormat="1"/>
    <w:lsdException w:name="heading 2" w:locked="0" w:semiHidden="0" w:uiPriority="0" w:unhideWhenUsed="0" w:qFormat="1"/>
    <w:lsdException w:name="heading 3" w:locked="0" w:semiHidden="0" w:uiPriority="0" w:unhideWhenUsed="0" w:qFormat="1"/>
    <w:lsdException w:name="heading 4" w:locked="0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0" w:uiPriority="0"/>
    <w:lsdException w:name="caption" w:locked="0" w:uiPriority="0" w:qFormat="1"/>
    <w:lsdException w:name="footnote reference" w:locked="0" w:uiPriority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locked="0"/>
    <w:lsdException w:name="Strong" w:semiHidden="0" w:uiPriority="0" w:unhideWhenUsed="0" w:qFormat="1"/>
    <w:lsdException w:name="Emphasis" w:locked="0" w:semiHidden="0" w:uiPriority="1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semiHidden="0" w:uiPriority="21" w:unhideWhenUsed="0" w:qFormat="1"/>
    <w:lsdException w:name="Subtle Reference" w:uiPriority="31" w:unhideWhenUsed="0" w:qFormat="1"/>
    <w:lsdException w:name="Intense Reference" w:uiPriority="0" w:unhideWhenUsed="0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ECC Base"/>
    <w:semiHidden/>
    <w:qFormat/>
    <w:rsid w:val="00714F0F"/>
    <w:rPr>
      <w:rFonts w:eastAsia="Calibri"/>
      <w:szCs w:val="22"/>
      <w:lang w:val="en-GB"/>
    </w:rPr>
  </w:style>
  <w:style w:type="paragraph" w:styleId="Titre1">
    <w:name w:val="heading 1"/>
    <w:aliases w:val="ECC Heading 1"/>
    <w:next w:val="Normal"/>
    <w:qFormat/>
    <w:rsid w:val="00A751C0"/>
    <w:pPr>
      <w:keepNext/>
      <w:numPr>
        <w:numId w:val="6"/>
      </w:numPr>
      <w:spacing w:before="600"/>
      <w:ind w:left="431" w:hanging="431"/>
      <w:outlineLvl w:val="0"/>
    </w:pPr>
    <w:rPr>
      <w:rFonts w:cs="Arial"/>
      <w:b/>
      <w:bCs/>
      <w:caps/>
      <w:color w:val="D2232A"/>
      <w:kern w:val="32"/>
      <w:szCs w:val="32"/>
    </w:rPr>
  </w:style>
  <w:style w:type="paragraph" w:styleId="Titre2">
    <w:name w:val="heading 2"/>
    <w:aliases w:val="ECC Heading 2"/>
    <w:next w:val="Normal"/>
    <w:qFormat/>
    <w:rsid w:val="00F51BD6"/>
    <w:pPr>
      <w:keepNext/>
      <w:numPr>
        <w:ilvl w:val="1"/>
        <w:numId w:val="6"/>
      </w:numPr>
      <w:spacing w:before="480"/>
      <w:ind w:left="578" w:hanging="578"/>
      <w:outlineLvl w:val="1"/>
    </w:pPr>
    <w:rPr>
      <w:rFonts w:cs="Arial"/>
      <w:b/>
      <w:bCs/>
      <w:iCs/>
      <w:caps/>
      <w:szCs w:val="28"/>
    </w:rPr>
  </w:style>
  <w:style w:type="paragraph" w:styleId="Titre3">
    <w:name w:val="heading 3"/>
    <w:aliases w:val="ECC Heading 3"/>
    <w:next w:val="Normal"/>
    <w:qFormat/>
    <w:rsid w:val="00E2303A"/>
    <w:pPr>
      <w:keepNext/>
      <w:numPr>
        <w:ilvl w:val="2"/>
        <w:numId w:val="6"/>
      </w:numPr>
      <w:spacing w:before="360"/>
      <w:outlineLvl w:val="2"/>
    </w:pPr>
    <w:rPr>
      <w:rFonts w:cs="Arial"/>
      <w:b/>
      <w:bCs/>
      <w:szCs w:val="26"/>
    </w:rPr>
  </w:style>
  <w:style w:type="paragraph" w:styleId="Titre4">
    <w:name w:val="heading 4"/>
    <w:aliases w:val="ECC Heading 4"/>
    <w:next w:val="Normal"/>
    <w:qFormat/>
    <w:rsid w:val="00F51BD6"/>
    <w:pPr>
      <w:numPr>
        <w:ilvl w:val="3"/>
        <w:numId w:val="6"/>
      </w:numPr>
      <w:spacing w:before="360"/>
      <w:ind w:left="862" w:hanging="862"/>
      <w:outlineLvl w:val="3"/>
    </w:pPr>
    <w:rPr>
      <w:rFonts w:cs="Arial"/>
      <w:bCs/>
      <w:i/>
      <w:color w:val="D2232A"/>
      <w:szCs w:val="26"/>
    </w:rPr>
  </w:style>
  <w:style w:type="paragraph" w:styleId="Titre5">
    <w:name w:val="heading 5"/>
    <w:basedOn w:val="Normal"/>
    <w:next w:val="Normal"/>
    <w:semiHidden/>
    <w:qFormat/>
    <w:locked/>
    <w:rsid w:val="009E47EB"/>
    <w:pPr>
      <w:numPr>
        <w:ilvl w:val="4"/>
        <w:numId w:val="6"/>
      </w:numPr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semiHidden/>
    <w:qFormat/>
    <w:locked/>
    <w:rsid w:val="009E47EB"/>
    <w:pPr>
      <w:numPr>
        <w:ilvl w:val="5"/>
        <w:numId w:val="6"/>
      </w:numPr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semiHidden/>
    <w:qFormat/>
    <w:locked/>
    <w:rsid w:val="009E47EB"/>
    <w:pPr>
      <w:numPr>
        <w:ilvl w:val="6"/>
        <w:numId w:val="6"/>
      </w:numPr>
      <w:outlineLvl w:val="6"/>
    </w:pPr>
    <w:rPr>
      <w:sz w:val="24"/>
    </w:rPr>
  </w:style>
  <w:style w:type="paragraph" w:styleId="Titre8">
    <w:name w:val="heading 8"/>
    <w:basedOn w:val="Normal"/>
    <w:next w:val="Normal"/>
    <w:semiHidden/>
    <w:qFormat/>
    <w:locked/>
    <w:rsid w:val="009E47EB"/>
    <w:pPr>
      <w:numPr>
        <w:ilvl w:val="7"/>
        <w:numId w:val="6"/>
      </w:numPr>
      <w:outlineLvl w:val="7"/>
    </w:pPr>
    <w:rPr>
      <w:i/>
      <w:iCs/>
      <w:sz w:val="24"/>
    </w:rPr>
  </w:style>
  <w:style w:type="paragraph" w:styleId="Titre9">
    <w:name w:val="heading 9"/>
    <w:basedOn w:val="Normal"/>
    <w:next w:val="Normal"/>
    <w:semiHidden/>
    <w:qFormat/>
    <w:locked/>
    <w:rsid w:val="009E47EB"/>
    <w:pPr>
      <w:numPr>
        <w:ilvl w:val="8"/>
        <w:numId w:val="6"/>
      </w:numPr>
      <w:outlineLvl w:val="8"/>
    </w:pPr>
    <w:rPr>
      <w:rFonts w:cs="Arial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CCBulletsLv1">
    <w:name w:val="ECC Bullets Lv1"/>
    <w:basedOn w:val="Normal"/>
    <w:qFormat/>
    <w:rsid w:val="00714F0F"/>
    <w:pPr>
      <w:numPr>
        <w:numId w:val="2"/>
      </w:numPr>
      <w:tabs>
        <w:tab w:val="left" w:pos="340"/>
      </w:tabs>
      <w:spacing w:before="60" w:after="0" w:line="288" w:lineRule="auto"/>
      <w:ind w:left="340" w:hanging="340"/>
      <w:contextualSpacing/>
    </w:pPr>
  </w:style>
  <w:style w:type="paragraph" w:styleId="En-tte">
    <w:name w:val="header"/>
    <w:basedOn w:val="Normal"/>
    <w:semiHidden/>
    <w:locked/>
    <w:rsid w:val="00C95C7C"/>
    <w:pPr>
      <w:tabs>
        <w:tab w:val="center" w:pos="4320"/>
        <w:tab w:val="right" w:pos="8640"/>
      </w:tabs>
    </w:pPr>
    <w:rPr>
      <w:b/>
      <w:sz w:val="16"/>
    </w:rPr>
  </w:style>
  <w:style w:type="paragraph" w:customStyle="1" w:styleId="ECCBox">
    <w:name w:val="ECC Box"/>
    <w:link w:val="ECCBoxZchn"/>
    <w:uiPriority w:val="99"/>
    <w:rsid w:val="0042761F"/>
    <w:pPr>
      <w:keepLines/>
      <w:pBdr>
        <w:top w:val="single" w:sz="12" w:space="4" w:color="auto"/>
        <w:left w:val="single" w:sz="12" w:space="4" w:color="auto"/>
        <w:bottom w:val="single" w:sz="12" w:space="4" w:color="auto"/>
        <w:right w:val="single" w:sz="12" w:space="4" w:color="auto"/>
      </w:pBdr>
      <w:spacing w:before="60"/>
    </w:pPr>
    <w:rPr>
      <w:lang w:eastAsia="de-DE"/>
    </w:rPr>
  </w:style>
  <w:style w:type="paragraph" w:customStyle="1" w:styleId="ECCAnnexheading1">
    <w:name w:val="ECC Annex heading1"/>
    <w:next w:val="Normal"/>
    <w:rsid w:val="00E2303A"/>
    <w:pPr>
      <w:keepNext/>
      <w:pageBreakBefore/>
      <w:numPr>
        <w:numId w:val="1"/>
      </w:numPr>
    </w:pPr>
    <w:rPr>
      <w:b/>
      <w:caps/>
      <w:color w:val="D2232A"/>
    </w:rPr>
  </w:style>
  <w:style w:type="paragraph" w:styleId="TM1">
    <w:name w:val="toc 1"/>
    <w:aliases w:val="ECC Index 1"/>
    <w:basedOn w:val="Normal"/>
    <w:link w:val="TM1Car"/>
    <w:uiPriority w:val="39"/>
    <w:semiHidden/>
    <w:qFormat/>
    <w:rsid w:val="0038287C"/>
    <w:pPr>
      <w:tabs>
        <w:tab w:val="left" w:pos="425"/>
        <w:tab w:val="right" w:leader="dot" w:pos="9639"/>
      </w:tabs>
      <w:spacing w:after="0"/>
      <w:ind w:left="425" w:hanging="425"/>
    </w:pPr>
    <w:rPr>
      <w:b/>
      <w:noProof/>
      <w:szCs w:val="20"/>
      <w:lang w:val="da-DK"/>
    </w:rPr>
  </w:style>
  <w:style w:type="paragraph" w:styleId="Notedebasdepage">
    <w:name w:val="footnote text"/>
    <w:aliases w:val="ECC Footnote"/>
    <w:basedOn w:val="Normal"/>
    <w:link w:val="NotedebasdepageCar"/>
    <w:rsid w:val="001526A2"/>
    <w:pPr>
      <w:widowControl w:val="0"/>
      <w:tabs>
        <w:tab w:val="left" w:pos="284"/>
      </w:tabs>
      <w:spacing w:after="0"/>
      <w:ind w:left="284" w:hanging="284"/>
    </w:pPr>
    <w:rPr>
      <w:sz w:val="16"/>
      <w:szCs w:val="16"/>
      <w:lang w:val="da-DK"/>
      <w14:cntxtAlts/>
    </w:rPr>
  </w:style>
  <w:style w:type="paragraph" w:styleId="TM2">
    <w:name w:val="toc 2"/>
    <w:aliases w:val="ECC Index 2"/>
    <w:basedOn w:val="Normal"/>
    <w:uiPriority w:val="39"/>
    <w:semiHidden/>
    <w:qFormat/>
    <w:rsid w:val="0038287C"/>
    <w:pPr>
      <w:tabs>
        <w:tab w:val="left" w:pos="993"/>
        <w:tab w:val="right" w:leader="dot" w:pos="9639"/>
      </w:tabs>
      <w:spacing w:before="0" w:after="0"/>
      <w:ind w:left="992" w:hanging="567"/>
    </w:pPr>
    <w:rPr>
      <w:noProof/>
      <w:szCs w:val="20"/>
      <w:lang w:val="da-DK"/>
    </w:rPr>
  </w:style>
  <w:style w:type="paragraph" w:styleId="TM3">
    <w:name w:val="toc 3"/>
    <w:aliases w:val="ECC Index 3"/>
    <w:basedOn w:val="Normal"/>
    <w:uiPriority w:val="39"/>
    <w:semiHidden/>
    <w:qFormat/>
    <w:rsid w:val="0038287C"/>
    <w:pPr>
      <w:tabs>
        <w:tab w:val="left" w:pos="1701"/>
        <w:tab w:val="right" w:leader="dot" w:pos="9639"/>
      </w:tabs>
      <w:spacing w:before="0" w:after="0"/>
      <w:ind w:left="1701" w:hanging="709"/>
    </w:pPr>
    <w:rPr>
      <w:noProof/>
      <w:szCs w:val="20"/>
      <w:lang w:val="da-DK"/>
    </w:rPr>
  </w:style>
  <w:style w:type="paragraph" w:styleId="TM4">
    <w:name w:val="toc 4"/>
    <w:aliases w:val="ECC Index 4"/>
    <w:basedOn w:val="Normal"/>
    <w:uiPriority w:val="39"/>
    <w:semiHidden/>
    <w:rsid w:val="0038287C"/>
    <w:pPr>
      <w:tabs>
        <w:tab w:val="left" w:pos="2552"/>
        <w:tab w:val="right" w:leader="dot" w:pos="9639"/>
      </w:tabs>
      <w:spacing w:before="0" w:after="0"/>
      <w:ind w:left="2552" w:hanging="851"/>
    </w:pPr>
    <w:rPr>
      <w:noProof/>
      <w:szCs w:val="20"/>
      <w:lang w:val="da-DK"/>
    </w:rPr>
  </w:style>
  <w:style w:type="character" w:customStyle="1" w:styleId="ECCHLgreen">
    <w:name w:val="ECC HL green"/>
    <w:basedOn w:val="Policepardfaut"/>
    <w:uiPriority w:val="1"/>
    <w:qFormat/>
    <w:rsid w:val="0038287C"/>
    <w:rPr>
      <w:bdr w:val="none" w:sz="0" w:space="0" w:color="auto"/>
      <w:shd w:val="solid" w:color="92D050" w:fill="auto"/>
      <w:lang w:val="en-GB"/>
    </w:rPr>
  </w:style>
  <w:style w:type="character" w:customStyle="1" w:styleId="NotedebasdepageCar">
    <w:name w:val="Note de bas de page Car"/>
    <w:aliases w:val="ECC Footnote Car"/>
    <w:basedOn w:val="Policepardfaut"/>
    <w:link w:val="Notedebasdepage"/>
    <w:rsid w:val="001526A2"/>
    <w:rPr>
      <w:rFonts w:eastAsia="Calibri"/>
      <w:sz w:val="16"/>
      <w:szCs w:val="16"/>
      <w14:cntxtAlts/>
    </w:rPr>
  </w:style>
  <w:style w:type="character" w:styleId="Appelnotedebasdep">
    <w:name w:val="footnote reference"/>
    <w:aliases w:val="ECC Footnote number"/>
    <w:basedOn w:val="Policepardfaut"/>
    <w:rsid w:val="00DB17F9"/>
    <w:rPr>
      <w:rFonts w:ascii="Arial" w:hAnsi="Arial"/>
      <w:sz w:val="20"/>
      <w:vertAlign w:val="superscript"/>
    </w:rPr>
  </w:style>
  <w:style w:type="paragraph" w:styleId="Lgende">
    <w:name w:val="caption"/>
    <w:aliases w:val="ECC Caption"/>
    <w:next w:val="Normal"/>
    <w:qFormat/>
    <w:rsid w:val="0038287C"/>
    <w:pPr>
      <w:keepLines/>
      <w:tabs>
        <w:tab w:val="left" w:pos="0"/>
        <w:tab w:val="center" w:pos="4820"/>
        <w:tab w:val="right" w:pos="9639"/>
      </w:tabs>
      <w:spacing w:after="240"/>
      <w:contextualSpacing/>
      <w:jc w:val="center"/>
    </w:pPr>
    <w:rPr>
      <w:b/>
      <w:bCs/>
      <w:color w:val="D2232A"/>
    </w:rPr>
  </w:style>
  <w:style w:type="paragraph" w:customStyle="1" w:styleId="ECCTablenote">
    <w:name w:val="ECC Table note"/>
    <w:qFormat/>
    <w:rsid w:val="00714F0F"/>
    <w:pPr>
      <w:spacing w:before="0"/>
      <w:ind w:left="284" w:hanging="284"/>
    </w:pPr>
    <w:rPr>
      <w:sz w:val="16"/>
      <w:szCs w:val="16"/>
      <w:lang w:val="en-GB"/>
    </w:rPr>
  </w:style>
  <w:style w:type="paragraph" w:customStyle="1" w:styleId="ECCBulletsLv2">
    <w:name w:val="ECC Bullets Lv2"/>
    <w:basedOn w:val="ECCBulletsLv1"/>
    <w:rsid w:val="00E36601"/>
    <w:pPr>
      <w:tabs>
        <w:tab w:val="clear" w:pos="340"/>
        <w:tab w:val="left" w:pos="680"/>
      </w:tabs>
      <w:ind w:left="680"/>
    </w:pPr>
  </w:style>
  <w:style w:type="paragraph" w:customStyle="1" w:styleId="ECCAnnexheading2">
    <w:name w:val="ECC Annex heading2"/>
    <w:next w:val="Normal"/>
    <w:rsid w:val="00E2303A"/>
    <w:pPr>
      <w:numPr>
        <w:ilvl w:val="1"/>
        <w:numId w:val="1"/>
      </w:numPr>
      <w:overflowPunct w:val="0"/>
      <w:autoSpaceDE w:val="0"/>
      <w:autoSpaceDN w:val="0"/>
      <w:adjustRightInd w:val="0"/>
      <w:spacing w:before="480" w:after="240"/>
      <w:textAlignment w:val="baseline"/>
    </w:pPr>
    <w:rPr>
      <w:b/>
      <w:caps/>
    </w:rPr>
  </w:style>
  <w:style w:type="paragraph" w:customStyle="1" w:styleId="ECCAnnexheading3">
    <w:name w:val="ECC Annex heading3"/>
    <w:next w:val="Normal"/>
    <w:rsid w:val="0001112E"/>
    <w:pPr>
      <w:numPr>
        <w:ilvl w:val="2"/>
        <w:numId w:val="1"/>
      </w:numPr>
      <w:overflowPunct w:val="0"/>
      <w:autoSpaceDE w:val="0"/>
      <w:autoSpaceDN w:val="0"/>
      <w:adjustRightInd w:val="0"/>
      <w:spacing w:before="360"/>
      <w:textAlignment w:val="baseline"/>
    </w:pPr>
    <w:rPr>
      <w:b/>
    </w:rPr>
  </w:style>
  <w:style w:type="paragraph" w:customStyle="1" w:styleId="ECCAnnexheading4">
    <w:name w:val="ECC Annex heading4"/>
    <w:next w:val="Normal"/>
    <w:rsid w:val="00E2303A"/>
    <w:pPr>
      <w:numPr>
        <w:ilvl w:val="3"/>
        <w:numId w:val="1"/>
      </w:numPr>
      <w:overflowPunct w:val="0"/>
      <w:autoSpaceDE w:val="0"/>
      <w:autoSpaceDN w:val="0"/>
      <w:adjustRightInd w:val="0"/>
      <w:spacing w:before="360"/>
      <w:textAlignment w:val="baseline"/>
    </w:pPr>
    <w:rPr>
      <w:i/>
      <w:color w:val="D2232A"/>
    </w:rPr>
  </w:style>
  <w:style w:type="paragraph" w:customStyle="1" w:styleId="ECCBulletsLv3">
    <w:name w:val="ECC Bullets Lv3"/>
    <w:basedOn w:val="ECCBulletsLv1"/>
    <w:rsid w:val="00E36601"/>
    <w:pPr>
      <w:tabs>
        <w:tab w:val="clear" w:pos="340"/>
        <w:tab w:val="left" w:pos="1021"/>
      </w:tabs>
      <w:ind w:left="1020"/>
    </w:pPr>
  </w:style>
  <w:style w:type="paragraph" w:customStyle="1" w:styleId="ECCStatement">
    <w:name w:val="ECC Statement"/>
    <w:basedOn w:val="Normal"/>
    <w:rsid w:val="0038287C"/>
    <w:rPr>
      <w:i/>
    </w:rPr>
  </w:style>
  <w:style w:type="paragraph" w:customStyle="1" w:styleId="ECCLetteredList">
    <w:name w:val="ECC Lettered List"/>
    <w:rsid w:val="00F51BD6"/>
    <w:pPr>
      <w:numPr>
        <w:ilvl w:val="1"/>
        <w:numId w:val="3"/>
      </w:numPr>
      <w:spacing w:after="0"/>
    </w:pPr>
  </w:style>
  <w:style w:type="paragraph" w:customStyle="1" w:styleId="ECCNumberedList">
    <w:name w:val="ECC Numbered List"/>
    <w:basedOn w:val="Normal"/>
    <w:rsid w:val="00714F0F"/>
    <w:pPr>
      <w:numPr>
        <w:numId w:val="4"/>
      </w:numPr>
      <w:spacing w:after="0"/>
    </w:pPr>
    <w:rPr>
      <w:szCs w:val="20"/>
    </w:rPr>
  </w:style>
  <w:style w:type="paragraph" w:customStyle="1" w:styleId="ECCReference">
    <w:name w:val="ECC Reference"/>
    <w:basedOn w:val="Normal"/>
    <w:rsid w:val="0038287C"/>
    <w:pPr>
      <w:numPr>
        <w:numId w:val="5"/>
      </w:numPr>
      <w:spacing w:before="0" w:after="0"/>
    </w:pPr>
    <w:rPr>
      <w:lang w:eastAsia="ja-JP"/>
    </w:rPr>
  </w:style>
  <w:style w:type="paragraph" w:styleId="Textedebulles">
    <w:name w:val="Balloon Text"/>
    <w:basedOn w:val="Normal"/>
    <w:link w:val="TextedebullesCar"/>
    <w:uiPriority w:val="99"/>
    <w:semiHidden/>
    <w:unhideWhenUsed/>
    <w:locked/>
    <w:rsid w:val="009E47EB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47EB"/>
    <w:rPr>
      <w:rFonts w:ascii="Lucida Grande" w:hAnsi="Lucida Grande" w:cs="Lucida Grande"/>
      <w:sz w:val="18"/>
      <w:szCs w:val="18"/>
      <w:lang w:val="en-US"/>
    </w:rPr>
  </w:style>
  <w:style w:type="paragraph" w:customStyle="1" w:styleId="ECCEditorsNote">
    <w:name w:val="ECC Editor's Note"/>
    <w:next w:val="Normal"/>
    <w:rsid w:val="00C512DE"/>
    <w:pPr>
      <w:numPr>
        <w:numId w:val="9"/>
      </w:numPr>
      <w:shd w:val="solid" w:color="FFFF00" w:fill="auto"/>
      <w:spacing w:before="120"/>
    </w:pPr>
    <w:rPr>
      <w:rFonts w:eastAsia="Calibri"/>
      <w:szCs w:val="22"/>
      <w:lang w:eastAsia="de-DE"/>
    </w:rPr>
  </w:style>
  <w:style w:type="paragraph" w:customStyle="1" w:styleId="ECCpageHeader">
    <w:name w:val="ECC page Header"/>
    <w:rsid w:val="00E36601"/>
    <w:pPr>
      <w:tabs>
        <w:tab w:val="left" w:pos="0"/>
        <w:tab w:val="center" w:pos="4820"/>
        <w:tab w:val="right" w:pos="9639"/>
      </w:tabs>
      <w:spacing w:before="0" w:after="0"/>
    </w:pPr>
    <w:rPr>
      <w:b/>
      <w:sz w:val="16"/>
    </w:rPr>
  </w:style>
  <w:style w:type="paragraph" w:customStyle="1" w:styleId="ECCFiguregraphcentered">
    <w:name w:val="ECC Figure/graph centered"/>
    <w:next w:val="Normal"/>
    <w:rsid w:val="00283417"/>
    <w:pPr>
      <w:spacing w:after="240"/>
      <w:jc w:val="center"/>
    </w:pPr>
    <w:rPr>
      <w:noProof/>
      <w:lang w:val="de-DE" w:eastAsia="de-DE"/>
      <w14:cntxtAlts/>
    </w:rPr>
  </w:style>
  <w:style w:type="paragraph" w:customStyle="1" w:styleId="ECCLetterHead">
    <w:name w:val="ECC Letter Head"/>
    <w:basedOn w:val="Normal"/>
    <w:link w:val="ECCLetterHeadZchn"/>
    <w:qFormat/>
    <w:rsid w:val="0038287C"/>
    <w:pPr>
      <w:tabs>
        <w:tab w:val="right" w:pos="4750"/>
      </w:tabs>
      <w:spacing w:before="120"/>
    </w:pPr>
    <w:rPr>
      <w:b/>
      <w:sz w:val="22"/>
      <w:szCs w:val="20"/>
    </w:rPr>
  </w:style>
  <w:style w:type="character" w:customStyle="1" w:styleId="ECCHLyellow">
    <w:name w:val="ECC HL yellow"/>
    <w:basedOn w:val="Policepardfaut"/>
    <w:uiPriority w:val="1"/>
    <w:qFormat/>
    <w:rsid w:val="0038287C"/>
    <w:rPr>
      <w:rFonts w:eastAsia="Calibri"/>
      <w:i w:val="0"/>
      <w:szCs w:val="22"/>
      <w:bdr w:val="none" w:sz="0" w:space="0" w:color="auto"/>
      <w:shd w:val="solid" w:color="FFFF00" w:fill="auto"/>
      <w:lang w:val="en-GB"/>
    </w:rPr>
  </w:style>
  <w:style w:type="paragraph" w:customStyle="1" w:styleId="ECCTableHeaderwhitefont">
    <w:name w:val="ECC Table Header white font"/>
    <w:basedOn w:val="ECCTableHeaderredfont"/>
    <w:qFormat/>
    <w:rsid w:val="0038287C"/>
    <w:pPr>
      <w:spacing w:after="120"/>
      <w:jc w:val="center"/>
    </w:pPr>
    <w:rPr>
      <w:color w:val="FFFFFF" w:themeColor="background1"/>
    </w:rPr>
  </w:style>
  <w:style w:type="paragraph" w:customStyle="1" w:styleId="ECCTabletext">
    <w:name w:val="ECC Table text"/>
    <w:basedOn w:val="Normal"/>
    <w:qFormat/>
    <w:rsid w:val="00714F0F"/>
    <w:pPr>
      <w:spacing w:before="60"/>
    </w:pPr>
  </w:style>
  <w:style w:type="paragraph" w:styleId="Signature">
    <w:name w:val="Signature"/>
    <w:basedOn w:val="Normal"/>
    <w:link w:val="SignatureCar"/>
    <w:uiPriority w:val="99"/>
    <w:semiHidden/>
    <w:unhideWhenUsed/>
    <w:locked/>
    <w:rsid w:val="007D52EC"/>
    <w:pPr>
      <w:spacing w:before="0" w:after="0"/>
      <w:ind w:left="4252"/>
    </w:pPr>
  </w:style>
  <w:style w:type="paragraph" w:customStyle="1" w:styleId="ECCTableHeaderredfont">
    <w:name w:val="ECC Table Header red font"/>
    <w:qFormat/>
    <w:rsid w:val="0038287C"/>
    <w:pPr>
      <w:spacing w:before="120"/>
    </w:pPr>
    <w:rPr>
      <w:bCs/>
      <w:color w:val="D2232A"/>
      <w:lang w:val="en-GB"/>
    </w:rPr>
  </w:style>
  <w:style w:type="character" w:customStyle="1" w:styleId="SignatureCar">
    <w:name w:val="Signature Car"/>
    <w:basedOn w:val="Policepardfaut"/>
    <w:link w:val="Signature"/>
    <w:uiPriority w:val="99"/>
    <w:semiHidden/>
    <w:rsid w:val="007D52EC"/>
  </w:style>
  <w:style w:type="paragraph" w:customStyle="1" w:styleId="ECCpageFooter">
    <w:name w:val="ECC page Footer"/>
    <w:rsid w:val="00E36601"/>
    <w:pPr>
      <w:tabs>
        <w:tab w:val="left" w:pos="0"/>
        <w:tab w:val="center" w:pos="4820"/>
        <w:tab w:val="right" w:pos="9639"/>
      </w:tabs>
      <w:spacing w:before="0" w:after="0"/>
    </w:pPr>
    <w:rPr>
      <w:b/>
      <w:sz w:val="16"/>
      <w:szCs w:val="22"/>
      <w:lang w:val="de-DE" w:eastAsia="de-DE"/>
    </w:rPr>
  </w:style>
  <w:style w:type="character" w:customStyle="1" w:styleId="ECCBoxZchn">
    <w:name w:val="ECC Box Zchn"/>
    <w:link w:val="ECCBox"/>
    <w:uiPriority w:val="99"/>
    <w:rsid w:val="0042761F"/>
    <w:rPr>
      <w:szCs w:val="22"/>
      <w:lang w:val="en-GB" w:eastAsia="de-DE"/>
    </w:rPr>
  </w:style>
  <w:style w:type="character" w:customStyle="1" w:styleId="ECCHLbold">
    <w:name w:val="ECC HL bold"/>
    <w:basedOn w:val="lev"/>
    <w:uiPriority w:val="1"/>
    <w:qFormat/>
    <w:rsid w:val="0038287C"/>
    <w:rPr>
      <w:b/>
      <w:bCs/>
    </w:rPr>
  </w:style>
  <w:style w:type="character" w:styleId="Accentuation">
    <w:name w:val="Emphasis"/>
    <w:aliases w:val="ECC HL italics"/>
    <w:basedOn w:val="Policepardfaut"/>
    <w:uiPriority w:val="1"/>
    <w:qFormat/>
    <w:rsid w:val="00DB17F9"/>
    <w:rPr>
      <w:i/>
    </w:rPr>
  </w:style>
  <w:style w:type="character" w:customStyle="1" w:styleId="TM1Car">
    <w:name w:val="TM 1 Car"/>
    <w:aliases w:val="ECC Index 1 Car"/>
    <w:basedOn w:val="Policepardfaut"/>
    <w:link w:val="TM1"/>
    <w:uiPriority w:val="39"/>
    <w:semiHidden/>
    <w:rsid w:val="00D3663D"/>
    <w:rPr>
      <w:rFonts w:eastAsia="Calibri"/>
      <w:b/>
      <w:noProof/>
    </w:rPr>
  </w:style>
  <w:style w:type="paragraph" w:styleId="En-ttedetabledesmatires">
    <w:name w:val="TOC Heading"/>
    <w:basedOn w:val="Titre1"/>
    <w:next w:val="Normal"/>
    <w:uiPriority w:val="39"/>
    <w:semiHidden/>
    <w:qFormat/>
    <w:locked/>
    <w:rsid w:val="003A5711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  <w:lang w:val="en-GB"/>
    </w:rPr>
  </w:style>
  <w:style w:type="character" w:customStyle="1" w:styleId="ECCHLcyan">
    <w:name w:val="ECC HL cyan"/>
    <w:basedOn w:val="Policepardfaut"/>
    <w:uiPriority w:val="1"/>
    <w:qFormat/>
    <w:rsid w:val="0038287C"/>
    <w:rPr>
      <w:iCs w:val="0"/>
      <w:bdr w:val="none" w:sz="0" w:space="0" w:color="auto"/>
      <w:shd w:val="solid" w:color="00FFFF" w:fill="auto"/>
      <w:lang w:val="en-GB"/>
    </w:rPr>
  </w:style>
  <w:style w:type="character" w:customStyle="1" w:styleId="ECCHLorange">
    <w:name w:val="ECC HL orange"/>
    <w:basedOn w:val="Policepardfaut"/>
    <w:uiPriority w:val="1"/>
    <w:qFormat/>
    <w:rsid w:val="0038287C"/>
    <w:rPr>
      <w:bdr w:val="none" w:sz="0" w:space="0" w:color="auto"/>
      <w:shd w:val="solid" w:color="FFC000" w:fill="auto"/>
    </w:rPr>
  </w:style>
  <w:style w:type="character" w:customStyle="1" w:styleId="ECCHLblue">
    <w:name w:val="ECC HL blue"/>
    <w:basedOn w:val="Policepardfaut"/>
    <w:uiPriority w:val="1"/>
    <w:qFormat/>
    <w:rsid w:val="0038287C"/>
    <w:rPr>
      <w:rFonts w:eastAsia="Calibri"/>
      <w:color w:val="FFFF00"/>
      <w:szCs w:val="22"/>
      <w:bdr w:val="none" w:sz="0" w:space="0" w:color="auto"/>
      <w:shd w:val="solid" w:color="4F81BD" w:themeColor="accent1" w:fill="auto"/>
      <w:lang w:val="en-GB"/>
    </w:rPr>
  </w:style>
  <w:style w:type="character" w:customStyle="1" w:styleId="ECCHLpetrol">
    <w:name w:val="ECC HL petrol"/>
    <w:basedOn w:val="Policepardfaut"/>
    <w:uiPriority w:val="1"/>
    <w:qFormat/>
    <w:rsid w:val="0038287C"/>
    <w:rPr>
      <w:iCs w:val="0"/>
      <w:color w:val="FFFFFF" w:themeColor="background1"/>
      <w:bdr w:val="none" w:sz="0" w:space="0" w:color="auto"/>
      <w:shd w:val="solid" w:color="008080" w:fill="auto"/>
    </w:rPr>
  </w:style>
  <w:style w:type="paragraph" w:styleId="Paragraphedeliste">
    <w:name w:val="List Paragraph"/>
    <w:basedOn w:val="Normal"/>
    <w:uiPriority w:val="34"/>
    <w:semiHidden/>
    <w:qFormat/>
    <w:locked/>
    <w:rsid w:val="005C5A96"/>
    <w:pPr>
      <w:ind w:left="720"/>
      <w:contextualSpacing/>
    </w:pPr>
  </w:style>
  <w:style w:type="character" w:customStyle="1" w:styleId="ECCHLsubscript">
    <w:name w:val="ECC HL subscript"/>
    <w:uiPriority w:val="1"/>
    <w:qFormat/>
    <w:rsid w:val="0038287C"/>
    <w:rPr>
      <w:vertAlign w:val="subscript"/>
    </w:rPr>
  </w:style>
  <w:style w:type="character" w:customStyle="1" w:styleId="ECCHLsuperscript">
    <w:name w:val="ECC HL superscript"/>
    <w:uiPriority w:val="1"/>
    <w:qFormat/>
    <w:rsid w:val="0038287C"/>
    <w:rPr>
      <w:vertAlign w:val="superscript"/>
    </w:rPr>
  </w:style>
  <w:style w:type="character" w:customStyle="1" w:styleId="ECCLetterHeadZchn">
    <w:name w:val="ECC Letter Head Zchn"/>
    <w:basedOn w:val="Policepardfaut"/>
    <w:link w:val="ECCLetterHead"/>
    <w:rsid w:val="00263FFB"/>
    <w:rPr>
      <w:rFonts w:eastAsia="Calibri"/>
      <w:b/>
      <w:sz w:val="22"/>
      <w:lang w:val="en-GB"/>
    </w:rPr>
  </w:style>
  <w:style w:type="character" w:customStyle="1" w:styleId="ECCHLmagenta">
    <w:name w:val="ECC HL magenta"/>
    <w:basedOn w:val="Policepardfaut"/>
    <w:uiPriority w:val="1"/>
    <w:qFormat/>
    <w:rsid w:val="0038287C"/>
    <w:rPr>
      <w:color w:val="auto"/>
      <w:bdr w:val="none" w:sz="0" w:space="0" w:color="auto"/>
      <w:shd w:val="solid" w:color="FF3399" w:fill="auto"/>
      <w:lang w:val="en-GB"/>
    </w:rPr>
  </w:style>
  <w:style w:type="character" w:customStyle="1" w:styleId="ECCHLbrown">
    <w:name w:val="ECC HL brown"/>
    <w:basedOn w:val="Policepardfaut"/>
    <w:uiPriority w:val="1"/>
    <w:qFormat/>
    <w:rsid w:val="0038287C"/>
    <w:rPr>
      <w:color w:val="D9D9D9" w:themeColor="background1" w:themeShade="D9"/>
      <w:bdr w:val="none" w:sz="0" w:space="0" w:color="auto"/>
      <w:shd w:val="solid" w:color="B95807" w:fill="auto"/>
    </w:rPr>
  </w:style>
  <w:style w:type="character" w:styleId="Lienhypertexte">
    <w:name w:val="Hyperlink"/>
    <w:aliases w:val="ECC Hyperlink"/>
    <w:basedOn w:val="Policepardfaut"/>
    <w:uiPriority w:val="99"/>
    <w:rsid w:val="00DB17F9"/>
    <w:rPr>
      <w:color w:val="0000FF" w:themeColor="hyperlink"/>
      <w:u w:val="single"/>
    </w:rPr>
  </w:style>
  <w:style w:type="paragraph" w:customStyle="1" w:styleId="ECCHeadingnonumbering">
    <w:name w:val="ECC Heading no numbering"/>
    <w:basedOn w:val="Titre1"/>
    <w:rsid w:val="00DB17F9"/>
    <w:pPr>
      <w:numPr>
        <w:numId w:val="0"/>
      </w:numPr>
      <w:tabs>
        <w:tab w:val="left" w:pos="0"/>
        <w:tab w:val="center" w:pos="4820"/>
        <w:tab w:val="right" w:pos="9639"/>
      </w:tabs>
    </w:pPr>
  </w:style>
  <w:style w:type="character" w:customStyle="1" w:styleId="ECCParagraph">
    <w:name w:val="ECC Paragraph"/>
    <w:basedOn w:val="Policepardfaut"/>
    <w:uiPriority w:val="1"/>
    <w:qFormat/>
    <w:rsid w:val="0038287C"/>
    <w:rPr>
      <w:rFonts w:ascii="Arial" w:hAnsi="Arial"/>
      <w:noProof w:val="0"/>
      <w:sz w:val="20"/>
      <w:bdr w:val="none" w:sz="0" w:space="0" w:color="auto"/>
      <w:lang w:val="en-GB"/>
    </w:rPr>
  </w:style>
  <w:style w:type="character" w:customStyle="1" w:styleId="ECCHLunderlined">
    <w:name w:val="ECC HL underlined"/>
    <w:uiPriority w:val="1"/>
    <w:qFormat/>
    <w:rsid w:val="0038287C"/>
    <w:rPr>
      <w:u w:val="single"/>
    </w:rPr>
  </w:style>
  <w:style w:type="table" w:styleId="Grillecouleur">
    <w:name w:val="Colorful Grid"/>
    <w:basedOn w:val="TableauNormal"/>
    <w:uiPriority w:val="73"/>
    <w:locked/>
    <w:rsid w:val="00F23D1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Tableausimple1">
    <w:name w:val="Table Simple 1"/>
    <w:basedOn w:val="TableauNormal"/>
    <w:uiPriority w:val="99"/>
    <w:semiHidden/>
    <w:unhideWhenUsed/>
    <w:locked/>
    <w:rsid w:val="00DB17F9"/>
    <w:pPr>
      <w:shd w:val="clear" w:color="FFFFFF" w:themeColor="background1" w:fill="auto"/>
      <w:spacing w:after="240"/>
      <w:textboxTightWrap w:val="lastLineOnly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Grillecouleur-Accent6">
    <w:name w:val="Colorful Grid Accent 6"/>
    <w:basedOn w:val="TableauNormal"/>
    <w:uiPriority w:val="73"/>
    <w:locked/>
    <w:rsid w:val="00F23D1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ECCTable-whiteheader">
    <w:name w:val="ECC Table - white header"/>
    <w:basedOn w:val="ECCTable-clean"/>
    <w:uiPriority w:val="99"/>
    <w:rsid w:val="0038287C"/>
    <w:tblPr>
      <w:tblBorders>
        <w:top w:val="single" w:sz="4" w:space="0" w:color="D22A23"/>
        <w:left w:val="single" w:sz="4" w:space="0" w:color="D22A23"/>
        <w:bottom w:val="single" w:sz="4" w:space="0" w:color="D22A23"/>
        <w:right w:val="single" w:sz="4" w:space="0" w:color="D22A23"/>
        <w:insideH w:val="single" w:sz="4" w:space="0" w:color="D22A23"/>
        <w:insideV w:val="single" w:sz="4" w:space="0" w:color="D22A23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jc w:val="left"/>
      </w:pPr>
      <w:rPr>
        <w:rFonts w:ascii="Arial" w:hAnsi="Arial"/>
        <w:b/>
        <w:i/>
        <w:color w:val="D22A23"/>
        <w:sz w:val="20"/>
      </w:rPr>
      <w:tblPr/>
      <w:trPr>
        <w:tblHeader/>
      </w:trPr>
      <w:tcPr>
        <w:shd w:val="clear" w:color="auto" w:fill="FFFFFF" w:themeFill="background1"/>
      </w:tcPr>
    </w:tblStylePr>
    <w:tblStylePr w:type="lastRow">
      <w:rPr>
        <w:b w:val="0"/>
      </w:rPr>
    </w:tblStylePr>
  </w:style>
  <w:style w:type="table" w:customStyle="1" w:styleId="ECCTable-redheader">
    <w:name w:val="ECC Table - red header"/>
    <w:basedOn w:val="ECCTable-clean"/>
    <w:uiPriority w:val="99"/>
    <w:rsid w:val="0038287C"/>
    <w:tblPr>
      <w:tblBorders>
        <w:top w:val="single" w:sz="4" w:space="0" w:color="D22A23"/>
        <w:left w:val="single" w:sz="4" w:space="0" w:color="D22A23"/>
        <w:bottom w:val="single" w:sz="4" w:space="0" w:color="D22A23"/>
        <w:right w:val="single" w:sz="4" w:space="0" w:color="D22A23"/>
        <w:insideH w:val="single" w:sz="4" w:space="0" w:color="D22A23"/>
        <w:insideV w:val="single" w:sz="4" w:space="0" w:color="D22A23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jc w:val="center"/>
      </w:pPr>
      <w:rPr>
        <w:b/>
        <w:i/>
        <w:color w:val="FFFFFF" w:themeColor="background1"/>
      </w:rPr>
      <w:tblPr/>
      <w:trPr>
        <w:tblHeader/>
      </w:trPr>
      <w:tcPr>
        <w:tcBorders>
          <w:top w:val="single" w:sz="4" w:space="0" w:color="D22A23"/>
          <w:left w:val="single" w:sz="4" w:space="0" w:color="D22A23"/>
          <w:bottom w:val="single" w:sz="4" w:space="0" w:color="D22A23"/>
          <w:right w:val="single" w:sz="4" w:space="0" w:color="D22A23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D22A23"/>
        <w:vAlign w:val="center"/>
      </w:tcPr>
    </w:tblStylePr>
  </w:style>
  <w:style w:type="table" w:customStyle="1" w:styleId="ECCTable-clean">
    <w:name w:val="ECC Table - clean"/>
    <w:uiPriority w:val="99"/>
    <w:rsid w:val="0038287C"/>
    <w:pPr>
      <w:spacing w:before="60"/>
    </w:pPr>
    <w:rPr>
      <w:rFonts w:eastAsia="Calibri"/>
      <w:lang w:val="de-DE" w:eastAsia="de-DE"/>
    </w:rPr>
    <w:tblPr>
      <w:tblStyleRowBandSize w:val="1"/>
      <w:jc w:val="center"/>
      <w:tblCellMar>
        <w:top w:w="57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  <w:jc w:val="left"/>
      </w:pPr>
      <w:rPr>
        <w:i/>
      </w:rPr>
      <w:tblPr/>
      <w:trPr>
        <w:tblHeader/>
      </w:trPr>
    </w:tblStylePr>
  </w:style>
  <w:style w:type="character" w:customStyle="1" w:styleId="ECCHLgrey">
    <w:name w:val="ECC HL grey"/>
    <w:uiPriority w:val="1"/>
    <w:qFormat/>
    <w:rsid w:val="0038287C"/>
    <w:rPr>
      <w:bdr w:val="none" w:sz="0" w:space="0" w:color="auto"/>
      <w:shd w:val="solid" w:color="BFBFBF" w:themeColor="background1" w:themeShade="BF" w:fill="auto"/>
    </w:rPr>
  </w:style>
  <w:style w:type="table" w:styleId="Grilledutableau">
    <w:name w:val="Table Grid"/>
    <w:basedOn w:val="TableauNormal"/>
    <w:locked/>
    <w:rsid w:val="00D0668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semiHidden/>
    <w:qFormat/>
    <w:locked/>
    <w:rsid w:val="0038287C"/>
    <w:rPr>
      <w:b/>
      <w:bCs/>
    </w:rPr>
  </w:style>
  <w:style w:type="paragraph" w:customStyle="1" w:styleId="ECCBreak">
    <w:name w:val="ECC Break"/>
    <w:link w:val="ECCBreakZchn"/>
    <w:rsid w:val="0042761F"/>
    <w:pPr>
      <w:spacing w:before="360"/>
      <w:jc w:val="left"/>
    </w:pPr>
    <w:rPr>
      <w:b/>
      <w:bCs/>
      <w:iCs/>
      <w:caps/>
      <w:szCs w:val="28"/>
    </w:rPr>
  </w:style>
  <w:style w:type="character" w:customStyle="1" w:styleId="ECCBreakZchn">
    <w:name w:val="ECC Break Zchn"/>
    <w:basedOn w:val="Policepardfaut"/>
    <w:link w:val="ECCBreak"/>
    <w:rsid w:val="0042761F"/>
    <w:rPr>
      <w:b/>
      <w:bCs/>
      <w:iCs/>
      <w:caps/>
      <w:szCs w:val="28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DE63C7"/>
    <w:rPr>
      <w:color w:val="605E5C"/>
      <w:shd w:val="clear" w:color="auto" w:fill="E1DFDD"/>
    </w:rPr>
  </w:style>
  <w:style w:type="paragraph" w:styleId="Pieddepage">
    <w:name w:val="footer"/>
    <w:basedOn w:val="Normal"/>
    <w:link w:val="PieddepageCar"/>
    <w:uiPriority w:val="99"/>
    <w:unhideWhenUsed/>
    <w:locked/>
    <w:rsid w:val="00C320F6"/>
    <w:pPr>
      <w:tabs>
        <w:tab w:val="center" w:pos="4513"/>
        <w:tab w:val="right" w:pos="9026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C320F6"/>
    <w:rPr>
      <w:rFonts w:eastAsia="Calibri"/>
      <w:szCs w:val="22"/>
      <w:lang w:val="en-GB"/>
    </w:rPr>
  </w:style>
  <w:style w:type="character" w:styleId="Lienhypertextesuivivisit">
    <w:name w:val="FollowedHyperlink"/>
    <w:basedOn w:val="Policepardfaut"/>
    <w:uiPriority w:val="99"/>
    <w:semiHidden/>
    <w:unhideWhenUsed/>
    <w:locked/>
    <w:rsid w:val="00285967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locked/>
    <w:rsid w:val="001F4AC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locked/>
    <w:rsid w:val="001F4AC2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F4AC2"/>
    <w:rPr>
      <w:rFonts w:eastAsia="Calibri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locked/>
    <w:rsid w:val="001F4AC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F4AC2"/>
    <w:rPr>
      <w:rFonts w:eastAsia="Calibri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7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wmf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tu.int/md/R16-WRC19-C-0550/en" TargetMode="External"/><Relationship Id="rId1" Type="http://schemas.openxmlformats.org/officeDocument/2006/relationships/hyperlink" Target="https://cept.org/Documents/cpg/64831/cpg-21-019-annex-iv-24f_draft-cept-brief-on-article-215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4292C0B-30BC-4732-9AEF-216B81788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1481</Words>
  <Characters>8149</Characters>
  <Application>Microsoft Office Word</Application>
  <DocSecurity>0</DocSecurity>
  <Lines>67</Lines>
  <Paragraphs>19</Paragraphs>
  <ScaleCrop>false</ScaleCrop>
  <Manager/>
  <Company/>
  <LinksUpToDate>false</LinksUpToDate>
  <CharactersWithSpaces>9611</CharactersWithSpaces>
  <SharedDoc>false</SharedDoc>
  <HLinks>
    <vt:vector size="12" baseType="variant">
      <vt:variant>
        <vt:i4>7929916</vt:i4>
      </vt:variant>
      <vt:variant>
        <vt:i4>3</vt:i4>
      </vt:variant>
      <vt:variant>
        <vt:i4>0</vt:i4>
      </vt:variant>
      <vt:variant>
        <vt:i4>5</vt:i4>
      </vt:variant>
      <vt:variant>
        <vt:lpwstr>https://www.itu.int/md/R16-WRC19-C-0550/en</vt:lpwstr>
      </vt:variant>
      <vt:variant>
        <vt:lpwstr/>
      </vt:variant>
      <vt:variant>
        <vt:i4>4718626</vt:i4>
      </vt:variant>
      <vt:variant>
        <vt:i4>0</vt:i4>
      </vt:variant>
      <vt:variant>
        <vt:i4>0</vt:i4>
      </vt:variant>
      <vt:variant>
        <vt:i4>5</vt:i4>
      </vt:variant>
      <vt:variant>
        <vt:lpwstr>https://cept.org/Documents/cpg/64831/cpg-21-019-annex-iv-24f_draft-cept-brief-on-article-215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2021-09-15T16:19:00Z</dcterms:created>
  <dcterms:modified xsi:type="dcterms:W3CDTF">2021-09-16T09:44:00Z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50d26f-5c2c-4137-8396-1b24eb24286c_Enabled">
    <vt:lpwstr>true</vt:lpwstr>
  </property>
  <property fmtid="{D5CDD505-2E9C-101B-9397-08002B2CF9AE}" pid="3" name="MSIP_Label_5a50d26f-5c2c-4137-8396-1b24eb24286c_SetDate">
    <vt:lpwstr>2021-09-15T16:23:01Z</vt:lpwstr>
  </property>
  <property fmtid="{D5CDD505-2E9C-101B-9397-08002B2CF9AE}" pid="4" name="MSIP_Label_5a50d26f-5c2c-4137-8396-1b24eb24286c_Method">
    <vt:lpwstr>Privileged</vt:lpwstr>
  </property>
  <property fmtid="{D5CDD505-2E9C-101B-9397-08002B2CF9AE}" pid="5" name="MSIP_Label_5a50d26f-5c2c-4137-8396-1b24eb24286c_Name">
    <vt:lpwstr>5a50d26f-5c2c-4137-8396-1b24eb24286c</vt:lpwstr>
  </property>
  <property fmtid="{D5CDD505-2E9C-101B-9397-08002B2CF9AE}" pid="6" name="MSIP_Label_5a50d26f-5c2c-4137-8396-1b24eb24286c_SiteId">
    <vt:lpwstr>0af648de-310c-4068-8ae4-f9418bae24cc</vt:lpwstr>
  </property>
  <property fmtid="{D5CDD505-2E9C-101B-9397-08002B2CF9AE}" pid="7" name="MSIP_Label_5a50d26f-5c2c-4137-8396-1b24eb24286c_ActionId">
    <vt:lpwstr>62bbeede-d749-42e9-9443-03562f9764a2</vt:lpwstr>
  </property>
  <property fmtid="{D5CDD505-2E9C-101B-9397-08002B2CF9AE}" pid="8" name="MSIP_Label_5a50d26f-5c2c-4137-8396-1b24eb24286c_ContentBits">
    <vt:lpwstr>0</vt:lpwstr>
  </property>
</Properties>
</file>