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96121F" w:rsidRPr="00184605" w14:paraId="2243903C" w14:textId="77777777" w:rsidTr="007E570A">
        <w:trPr>
          <w:cantSplit/>
          <w:trHeight w:val="1560"/>
        </w:trPr>
        <w:tc>
          <w:tcPr>
            <w:tcW w:w="4820" w:type="dxa"/>
            <w:gridSpan w:val="2"/>
            <w:tcBorders>
              <w:top w:val="nil"/>
              <w:left w:val="nil"/>
              <w:bottom w:val="nil"/>
              <w:right w:val="nil"/>
            </w:tcBorders>
            <w:vAlign w:val="center"/>
          </w:tcPr>
          <w:p w14:paraId="3FBF1038" w14:textId="7AA45BB2" w:rsidR="0096121F" w:rsidRPr="0096121F" w:rsidRDefault="0096121F" w:rsidP="0096121F">
            <w:pPr>
              <w:pStyle w:val="ECCLetterHead"/>
            </w:pPr>
          </w:p>
        </w:tc>
        <w:tc>
          <w:tcPr>
            <w:tcW w:w="4961" w:type="dxa"/>
            <w:tcBorders>
              <w:top w:val="nil"/>
              <w:left w:val="nil"/>
              <w:bottom w:val="nil"/>
              <w:right w:val="nil"/>
            </w:tcBorders>
          </w:tcPr>
          <w:p w14:paraId="1FDDFD1A" w14:textId="14F84587" w:rsidR="0096121F" w:rsidRPr="0096121F" w:rsidRDefault="0096121F" w:rsidP="0034436F">
            <w:pPr>
              <w:pStyle w:val="ECCLetterHead"/>
            </w:pPr>
            <w:r w:rsidRPr="0096121F">
              <w:tab/>
            </w:r>
            <w:r w:rsidR="00403E93">
              <w:t xml:space="preserve">Doc. </w:t>
            </w:r>
            <w:r w:rsidR="00B3040D">
              <w:t>PTB (</w:t>
            </w:r>
            <w:r w:rsidR="00F85DD2">
              <w:t>22)</w:t>
            </w:r>
            <w:r w:rsidR="006E0A35">
              <w:t>098</w:t>
            </w:r>
          </w:p>
        </w:tc>
      </w:tr>
      <w:tr w:rsidR="0096121F" w:rsidRPr="00184605" w14:paraId="655DCC49" w14:textId="77777777" w:rsidTr="007E570A">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150113B5" w14:textId="1244A96F" w:rsidR="0096121F" w:rsidRPr="0096121F" w:rsidRDefault="006E0A35" w:rsidP="0096121F">
            <w:pPr>
              <w:pStyle w:val="ECCLetterHead"/>
            </w:pPr>
            <w:r w:rsidRPr="00235592">
              <w:t>CPG</w:t>
            </w:r>
            <w:r w:rsidRPr="006E0A35">
              <w:t>23 PTB #6</w:t>
            </w:r>
          </w:p>
        </w:tc>
      </w:tr>
      <w:tr w:rsidR="0096121F" w:rsidRPr="00184605" w14:paraId="083803DA" w14:textId="77777777" w:rsidTr="007E570A">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5A72FBF0" w14:textId="6155A034" w:rsidR="0096121F" w:rsidRPr="0096121F" w:rsidRDefault="006E0A35" w:rsidP="0096121F">
            <w:pPr>
              <w:pStyle w:val="ECCLetterHead"/>
            </w:pPr>
            <w:r w:rsidRPr="00A1187D">
              <w:t>Norway, Hybrid, 05</w:t>
            </w:r>
            <w:r w:rsidRPr="006E0A35">
              <w:t>th – 09th December 2022</w:t>
            </w:r>
          </w:p>
        </w:tc>
      </w:tr>
      <w:tr w:rsidR="0096121F" w:rsidRPr="00A3755D" w14:paraId="4211D5CB" w14:textId="77777777" w:rsidTr="007E570A">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67F8779E" w14:textId="77777777" w:rsidR="0096121F" w:rsidRPr="0096121F" w:rsidRDefault="0096121F" w:rsidP="0096121F">
            <w:pPr>
              <w:pStyle w:val="ECCLetterHead"/>
            </w:pPr>
          </w:p>
        </w:tc>
      </w:tr>
      <w:tr w:rsidR="0096121F" w:rsidRPr="00184605" w14:paraId="515A73B6" w14:textId="77777777" w:rsidTr="007E570A">
        <w:tblPrEx>
          <w:tblCellMar>
            <w:left w:w="108" w:type="dxa"/>
            <w:right w:w="108" w:type="dxa"/>
          </w:tblCellMar>
        </w:tblPrEx>
        <w:trPr>
          <w:cantSplit/>
          <w:trHeight w:val="405"/>
        </w:trPr>
        <w:tc>
          <w:tcPr>
            <w:tcW w:w="1819" w:type="dxa"/>
            <w:tcBorders>
              <w:top w:val="nil"/>
              <w:left w:val="nil"/>
              <w:bottom w:val="nil"/>
              <w:right w:val="nil"/>
            </w:tcBorders>
            <w:vAlign w:val="center"/>
          </w:tcPr>
          <w:p w14:paraId="4143AE14" w14:textId="77777777" w:rsidR="0096121F" w:rsidRPr="0096121F" w:rsidRDefault="0096121F" w:rsidP="0096121F">
            <w:pPr>
              <w:pStyle w:val="ECCLetterHead"/>
            </w:pPr>
            <w:r w:rsidRPr="0096121F">
              <w:t xml:space="preserve">Date issued: </w:t>
            </w:r>
          </w:p>
        </w:tc>
        <w:tc>
          <w:tcPr>
            <w:tcW w:w="7962" w:type="dxa"/>
            <w:gridSpan w:val="2"/>
            <w:tcBorders>
              <w:top w:val="nil"/>
              <w:left w:val="nil"/>
              <w:bottom w:val="nil"/>
              <w:right w:val="nil"/>
            </w:tcBorders>
            <w:vAlign w:val="center"/>
          </w:tcPr>
          <w:p w14:paraId="5C7A0D3B" w14:textId="2002BD1A" w:rsidR="0096121F" w:rsidRPr="0096121F" w:rsidRDefault="006E0A35" w:rsidP="0034436F">
            <w:pPr>
              <w:pStyle w:val="ECCLetterHead"/>
            </w:pPr>
            <w:r>
              <w:t>24</w:t>
            </w:r>
            <w:r w:rsidR="0098650C">
              <w:t xml:space="preserve"> </w:t>
            </w:r>
            <w:r>
              <w:t>Novemb</w:t>
            </w:r>
            <w:r w:rsidR="00A37823">
              <w:t>er</w:t>
            </w:r>
            <w:r w:rsidR="00402E38">
              <w:t xml:space="preserve"> 2022</w:t>
            </w:r>
          </w:p>
        </w:tc>
      </w:tr>
      <w:tr w:rsidR="0096121F" w:rsidRPr="00184605" w14:paraId="0F397885" w14:textId="77777777" w:rsidTr="007E570A">
        <w:tblPrEx>
          <w:tblCellMar>
            <w:left w:w="108" w:type="dxa"/>
            <w:right w:w="108" w:type="dxa"/>
          </w:tblCellMar>
        </w:tblPrEx>
        <w:trPr>
          <w:cantSplit/>
          <w:trHeight w:val="405"/>
        </w:trPr>
        <w:tc>
          <w:tcPr>
            <w:tcW w:w="1819" w:type="dxa"/>
            <w:tcBorders>
              <w:top w:val="nil"/>
              <w:left w:val="nil"/>
              <w:bottom w:val="nil"/>
              <w:right w:val="nil"/>
            </w:tcBorders>
            <w:vAlign w:val="center"/>
          </w:tcPr>
          <w:p w14:paraId="161600CF" w14:textId="77777777" w:rsidR="0096121F" w:rsidRPr="0096121F" w:rsidRDefault="0096121F" w:rsidP="0096121F">
            <w:pPr>
              <w:pStyle w:val="ECCLetterHead"/>
            </w:pPr>
            <w:r w:rsidRPr="0096121F">
              <w:t xml:space="preserve">Source: </w:t>
            </w:r>
          </w:p>
        </w:tc>
        <w:tc>
          <w:tcPr>
            <w:tcW w:w="7962" w:type="dxa"/>
            <w:gridSpan w:val="2"/>
            <w:tcBorders>
              <w:top w:val="nil"/>
              <w:left w:val="nil"/>
              <w:bottom w:val="nil"/>
              <w:right w:val="nil"/>
            </w:tcBorders>
            <w:vAlign w:val="center"/>
          </w:tcPr>
          <w:p w14:paraId="6529CA0E" w14:textId="682CF520" w:rsidR="0096121F" w:rsidRPr="0096121F" w:rsidRDefault="00117A7E" w:rsidP="0096121F">
            <w:pPr>
              <w:pStyle w:val="ECCLetterHead"/>
            </w:pPr>
            <w:r>
              <w:t>Romania</w:t>
            </w:r>
            <w:r w:rsidR="0049146B">
              <w:t>, Lithuania</w:t>
            </w:r>
          </w:p>
        </w:tc>
      </w:tr>
      <w:tr w:rsidR="0096121F" w:rsidRPr="00184605" w14:paraId="2694DC8C" w14:textId="77777777" w:rsidTr="007E570A">
        <w:tblPrEx>
          <w:tblCellMar>
            <w:left w:w="108" w:type="dxa"/>
            <w:right w:w="108" w:type="dxa"/>
          </w:tblCellMar>
        </w:tblPrEx>
        <w:trPr>
          <w:cantSplit/>
          <w:trHeight w:val="405"/>
        </w:trPr>
        <w:tc>
          <w:tcPr>
            <w:tcW w:w="1819" w:type="dxa"/>
            <w:tcBorders>
              <w:top w:val="nil"/>
              <w:left w:val="nil"/>
              <w:bottom w:val="nil"/>
              <w:right w:val="nil"/>
            </w:tcBorders>
            <w:vAlign w:val="center"/>
          </w:tcPr>
          <w:p w14:paraId="2AD13C57" w14:textId="77777777" w:rsidR="0096121F" w:rsidRPr="0096121F" w:rsidRDefault="0096121F" w:rsidP="0096121F">
            <w:pPr>
              <w:pStyle w:val="ECCLetterHead"/>
            </w:pPr>
            <w:r w:rsidRPr="0096121F">
              <w:t xml:space="preserve">Subject: </w:t>
            </w:r>
          </w:p>
        </w:tc>
        <w:tc>
          <w:tcPr>
            <w:tcW w:w="7962" w:type="dxa"/>
            <w:gridSpan w:val="2"/>
            <w:tcBorders>
              <w:top w:val="nil"/>
              <w:left w:val="nil"/>
              <w:bottom w:val="nil"/>
              <w:right w:val="nil"/>
            </w:tcBorders>
            <w:vAlign w:val="center"/>
          </w:tcPr>
          <w:p w14:paraId="3804AE06" w14:textId="3CCD3B87" w:rsidR="0096121F" w:rsidRPr="0096121F" w:rsidRDefault="0096121F" w:rsidP="0096121F">
            <w:pPr>
              <w:pStyle w:val="ECCLetterHead"/>
            </w:pPr>
            <w:r w:rsidRPr="0096121F">
              <w:t xml:space="preserve">Draft CEPT Brief on WRC-23 agenda item </w:t>
            </w:r>
            <w:r>
              <w:t>7</w:t>
            </w:r>
            <w:r w:rsidR="006E0A35">
              <w:t xml:space="preserve"> Topic A</w:t>
            </w:r>
          </w:p>
        </w:tc>
      </w:tr>
      <w:tr w:rsidR="0096121F" w:rsidRPr="00184605" w14:paraId="4BA1C4F9" w14:textId="77777777" w:rsidTr="007E570A">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37DD9B76" w14:textId="52A36C6C" w:rsidR="0096121F" w:rsidRPr="0096121F" w:rsidRDefault="0096121F" w:rsidP="0096121F">
            <w:pPr>
              <w:pStyle w:val="ECCTabletext"/>
            </w:pPr>
            <w:bookmarkStart w:id="0" w:name="_GoBack"/>
            <w:bookmarkEnd w:id="0"/>
          </w:p>
        </w:tc>
      </w:tr>
      <w:tr w:rsidR="0096121F" w:rsidRPr="00A3755D" w14:paraId="4E848771" w14:textId="77777777" w:rsidTr="007E570A">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180E6CC3" w14:textId="77777777" w:rsidR="0096121F" w:rsidRPr="0096121F" w:rsidRDefault="0096121F" w:rsidP="0096121F">
            <w:pPr>
              <w:rPr>
                <w:rStyle w:val="ECCParagraph"/>
              </w:rPr>
            </w:pPr>
          </w:p>
          <w:p w14:paraId="7C565471" w14:textId="77777777" w:rsidR="0096121F" w:rsidRDefault="0096121F" w:rsidP="0096121F"/>
          <w:p w14:paraId="6CFD44A3" w14:textId="77777777" w:rsidR="00CF6592" w:rsidRPr="00CF6592" w:rsidRDefault="00CF6592" w:rsidP="00CF6592"/>
          <w:p w14:paraId="4F707D83" w14:textId="77777777" w:rsidR="00CF6592" w:rsidRPr="00CF6592" w:rsidRDefault="00CF6592" w:rsidP="00CF6592"/>
          <w:p w14:paraId="77D83558" w14:textId="77777777" w:rsidR="00CF6592" w:rsidRPr="00CF6592" w:rsidRDefault="00CF6592" w:rsidP="00CF6592"/>
          <w:p w14:paraId="185A6504" w14:textId="77777777" w:rsidR="00CF6592" w:rsidRPr="00CF6592" w:rsidRDefault="00CF6592" w:rsidP="00CF6592"/>
          <w:p w14:paraId="1E560AF4" w14:textId="77777777" w:rsidR="00CF6592" w:rsidRPr="00CF6592" w:rsidRDefault="00CF6592" w:rsidP="00CF6592"/>
          <w:p w14:paraId="1DB90820" w14:textId="77777777" w:rsidR="00CF6592" w:rsidRPr="00CF6592" w:rsidRDefault="00CF6592" w:rsidP="00CF6592"/>
          <w:p w14:paraId="76D90F8C" w14:textId="77777777" w:rsidR="00CF6592" w:rsidRPr="00CF6592" w:rsidRDefault="00CF6592" w:rsidP="00CF6592"/>
          <w:p w14:paraId="43150E64" w14:textId="77777777" w:rsidR="00CF6592" w:rsidRPr="00CF6592" w:rsidRDefault="00CF6592" w:rsidP="00CF6592"/>
          <w:p w14:paraId="3D53BEE1" w14:textId="77777777" w:rsidR="00CF6592" w:rsidRPr="00CF6592" w:rsidRDefault="00CF6592" w:rsidP="00CF6592"/>
          <w:p w14:paraId="2177307B" w14:textId="77777777" w:rsidR="00CF6592" w:rsidRPr="00CF6592" w:rsidRDefault="00CF6592" w:rsidP="00CF6592"/>
          <w:p w14:paraId="2D91F11B" w14:textId="77777777" w:rsidR="00CF6592" w:rsidRPr="00CF6592" w:rsidRDefault="00CF6592" w:rsidP="00CF6592"/>
          <w:p w14:paraId="454BF8B0" w14:textId="77777777" w:rsidR="00CF6592" w:rsidRPr="00CF6592" w:rsidRDefault="00CF6592" w:rsidP="00CF6592"/>
          <w:p w14:paraId="50AC9BD4" w14:textId="77777777" w:rsidR="00CF6592" w:rsidRPr="00CF6592" w:rsidRDefault="00CF6592" w:rsidP="00CF6592"/>
          <w:p w14:paraId="04DCFB75" w14:textId="77777777" w:rsidR="00CF6592" w:rsidRPr="00CF6592" w:rsidRDefault="00CF6592" w:rsidP="00CF6592"/>
          <w:p w14:paraId="2FB9DA18" w14:textId="77777777" w:rsidR="00CF6592" w:rsidRPr="00CF6592" w:rsidRDefault="00CF6592" w:rsidP="00CF6592"/>
          <w:p w14:paraId="7C6F2251" w14:textId="2CA7782B" w:rsidR="00CF6592" w:rsidRPr="00CF6592" w:rsidRDefault="00CF6592" w:rsidP="00CF6592"/>
        </w:tc>
      </w:tr>
      <w:tr w:rsidR="0096121F" w:rsidRPr="00184605" w14:paraId="1AC7FCB4" w14:textId="77777777" w:rsidTr="007E5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42BDCDD7" w14:textId="77777777" w:rsidR="0096121F" w:rsidRDefault="0096121F" w:rsidP="0096121F">
            <w:pPr>
              <w:pStyle w:val="ECCLetterHead"/>
            </w:pPr>
            <w:r w:rsidRPr="0096121F">
              <w:t xml:space="preserve">Summary: </w:t>
            </w:r>
          </w:p>
          <w:p w14:paraId="4D4CEA5E" w14:textId="548F6EBF" w:rsidR="00CF6592" w:rsidRPr="00CF6592" w:rsidRDefault="00FB2796" w:rsidP="00CF6592">
            <w:pPr>
              <w:pStyle w:val="ECCLetterHead"/>
              <w:rPr>
                <w:b w:val="0"/>
                <w:sz w:val="20"/>
                <w:szCs w:val="22"/>
              </w:rPr>
            </w:pPr>
            <w:r>
              <w:t>Romania</w:t>
            </w:r>
            <w:r w:rsidR="00E86A54">
              <w:t xml:space="preserve"> </w:t>
            </w:r>
            <w:r w:rsidR="0049146B">
              <w:t>and Lithuania</w:t>
            </w:r>
            <w:r w:rsidR="0049146B" w:rsidRPr="0049146B">
              <w:t xml:space="preserve"> </w:t>
            </w:r>
            <w:r w:rsidR="00E86A54">
              <w:t xml:space="preserve">propose specific updates </w:t>
            </w:r>
            <w:r w:rsidR="00F22819">
              <w:t>to the CEPT Brief on AI 7 Topic A</w:t>
            </w:r>
          </w:p>
        </w:tc>
      </w:tr>
      <w:tr w:rsidR="0096121F" w:rsidRPr="00184605" w14:paraId="10917BE3" w14:textId="77777777" w:rsidTr="00FC0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4"/>
        </w:trPr>
        <w:tc>
          <w:tcPr>
            <w:tcW w:w="9781" w:type="dxa"/>
            <w:gridSpan w:val="3"/>
            <w:tcBorders>
              <w:top w:val="nil"/>
              <w:left w:val="single" w:sz="6" w:space="0" w:color="C00000"/>
              <w:bottom w:val="single" w:sz="6" w:space="0" w:color="C00000"/>
              <w:right w:val="single" w:sz="6" w:space="0" w:color="C00000"/>
            </w:tcBorders>
          </w:tcPr>
          <w:p w14:paraId="05365618" w14:textId="7D144882" w:rsidR="00CF6592" w:rsidRPr="00CF6592" w:rsidRDefault="00CF6592" w:rsidP="00CF6592"/>
        </w:tc>
      </w:tr>
      <w:tr w:rsidR="0096121F" w:rsidRPr="00184605" w14:paraId="19E5F705" w14:textId="77777777" w:rsidTr="007E5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311D7A9A" w14:textId="0E33A9EB" w:rsidR="0096121F" w:rsidRDefault="0096121F" w:rsidP="0096121F">
            <w:pPr>
              <w:pStyle w:val="ECCLetterHead"/>
            </w:pPr>
            <w:r w:rsidRPr="0096121F">
              <w:lastRenderedPageBreak/>
              <w:t>Proposal:</w:t>
            </w:r>
            <w:r w:rsidR="00B0516D">
              <w:t xml:space="preserve"> </w:t>
            </w:r>
            <w:r w:rsidR="009730D5">
              <w:t>Romania</w:t>
            </w:r>
            <w:r w:rsidR="00FB2483">
              <w:t xml:space="preserve"> </w:t>
            </w:r>
            <w:r w:rsidR="0049146B">
              <w:t>and Lithuania</w:t>
            </w:r>
            <w:r w:rsidR="0049146B" w:rsidRPr="0049146B">
              <w:t xml:space="preserve"> </w:t>
            </w:r>
            <w:r w:rsidR="00FB2483">
              <w:t>invite CEPT to consider supporting Method A</w:t>
            </w:r>
            <w:r w:rsidR="00C54FD3">
              <w:t>3 of the CPM text on AI 7 Topic A. Method A3 is to be preferred for the following reasons:</w:t>
            </w:r>
          </w:p>
          <w:p w14:paraId="5D169AE3" w14:textId="1337814A" w:rsidR="002859AE" w:rsidRPr="002859AE" w:rsidRDefault="002859AE" w:rsidP="00FE7C18">
            <w:pPr>
              <w:pStyle w:val="ECCLetterHead"/>
              <w:numPr>
                <w:ilvl w:val="0"/>
                <w:numId w:val="41"/>
              </w:numPr>
            </w:pPr>
            <w:r w:rsidRPr="002859AE">
              <w:t xml:space="preserve">National administrations already have the mandate, </w:t>
            </w:r>
            <w:r w:rsidR="00A63096" w:rsidRPr="002859AE">
              <w:t>expertise,</w:t>
            </w:r>
            <w:r w:rsidRPr="002859AE">
              <w:t xml:space="preserve"> and responsibility to determine suitable orbital tolerances and verify</w:t>
            </w:r>
            <w:r w:rsidR="00C24FEC">
              <w:t xml:space="preserve"> their</w:t>
            </w:r>
            <w:r w:rsidRPr="002859AE">
              <w:t xml:space="preserve"> compliance</w:t>
            </w:r>
            <w:r w:rsidR="00990B92">
              <w:t xml:space="preserve"> with applicable regulations</w:t>
            </w:r>
            <w:r w:rsidRPr="002859AE">
              <w:t xml:space="preserve">. Method A3 ensures that national administrations maintain their authority over the supervision and authorization of orbital tolerances </w:t>
            </w:r>
          </w:p>
          <w:p w14:paraId="4740D254" w14:textId="4FC15E41" w:rsidR="002859AE" w:rsidRPr="002859AE" w:rsidRDefault="002859AE" w:rsidP="00FE7C18">
            <w:pPr>
              <w:pStyle w:val="ECCLetterHead"/>
              <w:numPr>
                <w:ilvl w:val="0"/>
                <w:numId w:val="41"/>
              </w:numPr>
            </w:pPr>
            <w:r w:rsidRPr="002859AE">
              <w:t xml:space="preserve">Method A3 enables the ITU to </w:t>
            </w:r>
            <w:r w:rsidR="00DA57EF">
              <w:t>collect</w:t>
            </w:r>
            <w:r w:rsidRPr="002859AE">
              <w:t xml:space="preserve"> data on orbital tolerances, while leveraging the expertise of national administrations to determine them</w:t>
            </w:r>
          </w:p>
          <w:p w14:paraId="1CD1AE85" w14:textId="6BBA80A5" w:rsidR="002859AE" w:rsidRPr="002859AE" w:rsidRDefault="002859AE" w:rsidP="00FE7C18">
            <w:pPr>
              <w:pStyle w:val="ECCLetterHead"/>
              <w:numPr>
                <w:ilvl w:val="0"/>
                <w:numId w:val="40"/>
              </w:numPr>
            </w:pPr>
            <w:r w:rsidRPr="002859AE">
              <w:t xml:space="preserve">Method A3 allows administrations to </w:t>
            </w:r>
            <w:proofErr w:type="gramStart"/>
            <w:r w:rsidRPr="002859AE">
              <w:t xml:space="preserve">take </w:t>
            </w:r>
            <w:r w:rsidR="00C24FEC" w:rsidRPr="002859AE">
              <w:t>into account</w:t>
            </w:r>
            <w:proofErr w:type="gramEnd"/>
            <w:r w:rsidR="00C24FEC" w:rsidRPr="00C24FEC">
              <w:t xml:space="preserve"> </w:t>
            </w:r>
            <w:r w:rsidRPr="002859AE">
              <w:t>relevant factors, such as the design of satellite systems, impact of drag and altitude, as well the solar cycle</w:t>
            </w:r>
            <w:r w:rsidR="00C24FEC">
              <w:t>,</w:t>
            </w:r>
            <w:r w:rsidRPr="002859AE">
              <w:t xml:space="preserve"> when determining orbital tolerances</w:t>
            </w:r>
          </w:p>
          <w:p w14:paraId="49989A59" w14:textId="0CF5BB5B" w:rsidR="00F34DDB" w:rsidRDefault="002859AE" w:rsidP="00FE7C18">
            <w:pPr>
              <w:pStyle w:val="ECCLetterHead"/>
              <w:numPr>
                <w:ilvl w:val="0"/>
                <w:numId w:val="40"/>
              </w:numPr>
            </w:pPr>
            <w:r w:rsidRPr="002859AE">
              <w:t>Method A3 would not cause any additional reporting burden</w:t>
            </w:r>
            <w:r w:rsidR="00682AFC">
              <w:t xml:space="preserve"> neither</w:t>
            </w:r>
            <w:r w:rsidRPr="002859AE">
              <w:t xml:space="preserve"> to national operators nor </w:t>
            </w:r>
            <w:r w:rsidR="00C24FEC">
              <w:t xml:space="preserve">to </w:t>
            </w:r>
            <w:r w:rsidRPr="002859AE">
              <w:t>the ITU</w:t>
            </w:r>
            <w:r w:rsidR="00682AFC">
              <w:t xml:space="preserve"> BR</w:t>
            </w:r>
            <w:r w:rsidRPr="002859AE">
              <w:t xml:space="preserve"> </w:t>
            </w:r>
            <w:r w:rsidR="00B3040D" w:rsidRPr="002859AE">
              <w:t>regarding</w:t>
            </w:r>
            <w:r w:rsidRPr="002859AE">
              <w:t xml:space="preserve"> supervision and authorization of orbital tolerances.</w:t>
            </w:r>
          </w:p>
          <w:p w14:paraId="30B81275" w14:textId="77777777" w:rsidR="009A515E" w:rsidRDefault="009A515E" w:rsidP="009A515E">
            <w:pPr>
              <w:pStyle w:val="ECCLetterHead"/>
            </w:pPr>
          </w:p>
          <w:p w14:paraId="53386F2B" w14:textId="77777777" w:rsidR="009A515E" w:rsidRDefault="009A515E" w:rsidP="009A515E">
            <w:pPr>
              <w:pStyle w:val="ECCLetterHead"/>
            </w:pPr>
            <w:r>
              <w:t>On the contrary</w:t>
            </w:r>
            <w:r w:rsidR="00FC0A52">
              <w:t>:</w:t>
            </w:r>
          </w:p>
          <w:p w14:paraId="13109C40" w14:textId="4C78E77F" w:rsidR="00FC0A52" w:rsidRDefault="00494542" w:rsidP="00FC0A52">
            <w:pPr>
              <w:pStyle w:val="ECCLetterHead"/>
              <w:numPr>
                <w:ilvl w:val="0"/>
                <w:numId w:val="40"/>
              </w:numPr>
            </w:pPr>
            <w:r>
              <w:t>Regarding m</w:t>
            </w:r>
            <w:r w:rsidR="00651385">
              <w:t>ethod A2</w:t>
            </w:r>
          </w:p>
          <w:p w14:paraId="59486378" w14:textId="21C355F8" w:rsidR="003F12BD" w:rsidRDefault="003F12BD" w:rsidP="00C958F8">
            <w:pPr>
              <w:pStyle w:val="ECCLetterHead"/>
              <w:numPr>
                <w:ilvl w:val="1"/>
                <w:numId w:val="40"/>
              </w:numPr>
            </w:pPr>
            <w:r w:rsidRPr="003F12BD">
              <w:t xml:space="preserve">The equation does not </w:t>
            </w:r>
            <w:proofErr w:type="gramStart"/>
            <w:r w:rsidRPr="003F12BD">
              <w:t>take into account</w:t>
            </w:r>
            <w:proofErr w:type="gramEnd"/>
            <w:r w:rsidRPr="003F12BD">
              <w:t xml:space="preserve"> drag at lower altitudes. Drag impacts orbits in a much significant way when these orbits are lower</w:t>
            </w:r>
          </w:p>
          <w:p w14:paraId="5AC04C28" w14:textId="6E1E1D99" w:rsidR="00C958F8" w:rsidRDefault="00494542" w:rsidP="003F12BD">
            <w:pPr>
              <w:pStyle w:val="ECCLetterHead"/>
              <w:numPr>
                <w:ilvl w:val="1"/>
                <w:numId w:val="40"/>
              </w:numPr>
            </w:pPr>
            <w:r>
              <w:t>The</w:t>
            </w:r>
            <w:r w:rsidR="00C46EBA">
              <w:t xml:space="preserve"> equation is biased towards N</w:t>
            </w:r>
            <w:r w:rsidR="00C958F8" w:rsidRPr="00C958F8">
              <w:t>GSOs a</w:t>
            </w:r>
            <w:r w:rsidR="00C46EBA">
              <w:t>t</w:t>
            </w:r>
            <w:r w:rsidR="00C958F8" w:rsidRPr="00C958F8">
              <w:t xml:space="preserve"> higher</w:t>
            </w:r>
            <w:r w:rsidR="00C46EBA">
              <w:t xml:space="preserve"> orbits, as it provides them with a higher</w:t>
            </w:r>
            <w:r w:rsidR="00C958F8" w:rsidRPr="00C958F8">
              <w:t xml:space="preserve"> orbital tolerance than NGSOs</w:t>
            </w:r>
            <w:r w:rsidR="00C46EBA">
              <w:t xml:space="preserve"> at lower orbits</w:t>
            </w:r>
            <w:r w:rsidR="003F12BD">
              <w:t>. On the contrary, the higher the orbit, the less the impact of drag. Consequently, the satellites at lower orbits should be granted a higher level of orbital tolerance with respect to satellites at higher orbits</w:t>
            </w:r>
            <w:r w:rsidR="00C958F8" w:rsidRPr="00C958F8">
              <w:tab/>
            </w:r>
          </w:p>
          <w:p w14:paraId="36F51ECC" w14:textId="7A0E0E58" w:rsidR="00C958F8" w:rsidRPr="00C958F8" w:rsidRDefault="00C958F8" w:rsidP="00C958F8">
            <w:pPr>
              <w:pStyle w:val="ECCLetterHead"/>
              <w:numPr>
                <w:ilvl w:val="1"/>
                <w:numId w:val="40"/>
              </w:numPr>
            </w:pPr>
            <w:r w:rsidRPr="00C958F8">
              <w:t xml:space="preserve">The equation does not take satellite design into account – that may differ from operator to operator. Applying a blanket equation could </w:t>
            </w:r>
            <w:r w:rsidR="00136149">
              <w:t>impose undue constraints</w:t>
            </w:r>
          </w:p>
          <w:p w14:paraId="242C403E" w14:textId="3AFA646E" w:rsidR="00651385" w:rsidRDefault="00C77873" w:rsidP="00C958F8">
            <w:pPr>
              <w:pStyle w:val="ECCLetterHead"/>
              <w:numPr>
                <w:ilvl w:val="1"/>
                <w:numId w:val="40"/>
              </w:numPr>
            </w:pPr>
            <w:r>
              <w:t>T</w:t>
            </w:r>
            <w:r w:rsidR="00C958F8" w:rsidRPr="00C958F8">
              <w:t xml:space="preserve">he ITU </w:t>
            </w:r>
            <w:r w:rsidR="00136149">
              <w:t xml:space="preserve">BR </w:t>
            </w:r>
            <w:r w:rsidR="00C958F8" w:rsidRPr="00C958F8">
              <w:t>will have to verify that operators are compliant with the orbital tolerances</w:t>
            </w:r>
            <w:r w:rsidR="00561E71">
              <w:t>, with such a task being difficult to accomplish for the ITU BR</w:t>
            </w:r>
          </w:p>
          <w:p w14:paraId="5888803B" w14:textId="77777777" w:rsidR="00142376" w:rsidRDefault="00142376" w:rsidP="00142376">
            <w:pPr>
              <w:pStyle w:val="ECCLetterHead"/>
              <w:numPr>
                <w:ilvl w:val="0"/>
                <w:numId w:val="40"/>
              </w:numPr>
            </w:pPr>
            <w:r>
              <w:t>Regarding method A4</w:t>
            </w:r>
          </w:p>
          <w:p w14:paraId="0DD4BCE5" w14:textId="14DCCF33" w:rsidR="008848B1" w:rsidRPr="008848B1" w:rsidRDefault="008848B1" w:rsidP="008848B1">
            <w:pPr>
              <w:pStyle w:val="ECCLetterHead"/>
              <w:numPr>
                <w:ilvl w:val="1"/>
                <w:numId w:val="40"/>
              </w:numPr>
            </w:pPr>
            <w:r w:rsidRPr="008848B1">
              <w:tab/>
            </w:r>
            <w:r w:rsidR="0060345A">
              <w:t>This method r</w:t>
            </w:r>
            <w:r>
              <w:t>epresents a duplication of efforts</w:t>
            </w:r>
            <w:r w:rsidRPr="008848B1">
              <w:t xml:space="preserve"> for operators and administrations.</w:t>
            </w:r>
            <w:r w:rsidR="00CB31D4">
              <w:t xml:space="preserve"> As an example,</w:t>
            </w:r>
            <w:r w:rsidRPr="008848B1">
              <w:t xml:space="preserve"> </w:t>
            </w:r>
            <w:r w:rsidR="00CB31D4">
              <w:t>l</w:t>
            </w:r>
            <w:r w:rsidRPr="008848B1">
              <w:t xml:space="preserve">eading operators already provide their data </w:t>
            </w:r>
            <w:r w:rsidR="00804903">
              <w:t>via</w:t>
            </w:r>
            <w:r w:rsidRPr="008848B1">
              <w:t xml:space="preserve"> Space</w:t>
            </w:r>
            <w:r w:rsidR="00804903">
              <w:t>-</w:t>
            </w:r>
            <w:r w:rsidRPr="008848B1">
              <w:t>Track.</w:t>
            </w:r>
            <w:r w:rsidR="00CB31D4">
              <w:t>o</w:t>
            </w:r>
            <w:r w:rsidRPr="008848B1">
              <w:t>rg</w:t>
            </w:r>
          </w:p>
          <w:p w14:paraId="384A6A8A" w14:textId="45F42AD4" w:rsidR="00142376" w:rsidRPr="00FE7C18" w:rsidRDefault="0060345A" w:rsidP="008848B1">
            <w:pPr>
              <w:pStyle w:val="ECCLetterHead"/>
              <w:numPr>
                <w:ilvl w:val="1"/>
                <w:numId w:val="40"/>
              </w:numPr>
            </w:pPr>
            <w:r>
              <w:t>This method i</w:t>
            </w:r>
            <w:r w:rsidR="00CB31D4">
              <w:t xml:space="preserve">mposes </w:t>
            </w:r>
            <w:r>
              <w:t>a</w:t>
            </w:r>
            <w:r w:rsidR="008848B1" w:rsidRPr="008848B1">
              <w:t xml:space="preserve">dditional burden on administrations </w:t>
            </w:r>
            <w:r w:rsidR="00D242FF">
              <w:t xml:space="preserve">and </w:t>
            </w:r>
            <w:r w:rsidR="0032512C">
              <w:t xml:space="preserve">ITU </w:t>
            </w:r>
            <w:r w:rsidR="00D242FF">
              <w:t xml:space="preserve">BR </w:t>
            </w:r>
            <w:r>
              <w:t>with no tangible advantage</w:t>
            </w:r>
          </w:p>
        </w:tc>
      </w:tr>
      <w:tr w:rsidR="0096121F" w:rsidRPr="00184605" w14:paraId="52FF900A" w14:textId="77777777" w:rsidTr="007E5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82"/>
        </w:trPr>
        <w:tc>
          <w:tcPr>
            <w:tcW w:w="9781" w:type="dxa"/>
            <w:gridSpan w:val="3"/>
            <w:tcBorders>
              <w:top w:val="nil"/>
              <w:left w:val="single" w:sz="6" w:space="0" w:color="C00000"/>
              <w:bottom w:val="single" w:sz="6" w:space="0" w:color="C00000"/>
              <w:right w:val="single" w:sz="6" w:space="0" w:color="C00000"/>
            </w:tcBorders>
          </w:tcPr>
          <w:p w14:paraId="264227DA" w14:textId="575EB740" w:rsidR="0015766B" w:rsidRPr="0096121F" w:rsidRDefault="00E152BB" w:rsidP="00F85DD2">
            <w:pPr>
              <w:pStyle w:val="ECCBulletsLv2"/>
              <w:numPr>
                <w:ilvl w:val="0"/>
                <w:numId w:val="0"/>
              </w:numPr>
            </w:pPr>
            <w:r>
              <w:t>The proposed edits are in track changes and highlighted in yellow</w:t>
            </w:r>
            <w:r w:rsidR="00210988">
              <w:t>.</w:t>
            </w:r>
          </w:p>
        </w:tc>
      </w:tr>
    </w:tbl>
    <w:p w14:paraId="0FBA9F7C" w14:textId="77777777" w:rsidR="00851243" w:rsidRDefault="00851243">
      <w:pPr>
        <w:rPr>
          <w:rFonts w:cs="Arial"/>
          <w:b/>
          <w:bCs/>
          <w:caps/>
          <w:color w:val="D2232A"/>
          <w:kern w:val="32"/>
          <w:szCs w:val="32"/>
          <w:lang w:val="en-US"/>
        </w:rPr>
      </w:pPr>
      <w:r>
        <w:rPr>
          <w:lang w:val="en-US"/>
        </w:rPr>
        <w:br w:type="page"/>
      </w:r>
    </w:p>
    <w:p w14:paraId="1B4C6600" w14:textId="34F0AA1B" w:rsidR="0069108A" w:rsidRPr="00D11141" w:rsidRDefault="0069108A" w:rsidP="00374ACF">
      <w:pPr>
        <w:pStyle w:val="ECCHeadingnonumbering"/>
        <w:tabs>
          <w:tab w:val="clear" w:pos="4820"/>
          <w:tab w:val="clear" w:pos="9639"/>
          <w:tab w:val="center" w:pos="4819"/>
        </w:tabs>
        <w:rPr>
          <w:lang w:val="en-US"/>
        </w:rPr>
      </w:pPr>
      <w:r w:rsidRPr="00D11141">
        <w:rPr>
          <w:lang w:val="en-US"/>
        </w:rPr>
        <w:lastRenderedPageBreak/>
        <w:t xml:space="preserve">DRAFT CEPT BRIEF ON AGENDA ITEM 7 </w:t>
      </w:r>
    </w:p>
    <w:p w14:paraId="5CF1DD59" w14:textId="7A66DF93" w:rsidR="0069108A" w:rsidRPr="00A03466" w:rsidRDefault="0069108A" w:rsidP="0069108A">
      <w:pPr>
        <w:rPr>
          <w:rStyle w:val="ECCParagraph"/>
        </w:rPr>
      </w:pPr>
      <w:r w:rsidRPr="00A03466">
        <w:rPr>
          <w:rStyle w:val="ECCParagraph"/>
        </w:rPr>
        <w:t>7</w:t>
      </w:r>
      <w:r w:rsidRPr="00A03466">
        <w:rPr>
          <w:rStyle w:val="ECCParagraph"/>
        </w:rPr>
        <w:tab/>
      </w:r>
      <w:r w:rsidRPr="00756724">
        <w:t xml:space="preserve">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756724">
        <w:rPr>
          <w:rStyle w:val="ECCHLbold"/>
        </w:rPr>
        <w:t>86 (Rev.WRC-07)</w:t>
      </w:r>
      <w:r w:rsidRPr="00756724">
        <w:t xml:space="preserve">, in order to facilitate the rational, efficient and economical use of radio frequencies and any associated orbits, including the geostationary-satellite </w:t>
      </w:r>
      <w:r w:rsidR="00B3040D" w:rsidRPr="00756724">
        <w:t>orbit.</w:t>
      </w:r>
    </w:p>
    <w:p w14:paraId="45C586E2" w14:textId="77777777" w:rsidR="0069108A" w:rsidRPr="0069108A" w:rsidRDefault="0069108A" w:rsidP="0069108A">
      <w:pPr>
        <w:pStyle w:val="Titre1"/>
      </w:pPr>
      <w:r w:rsidRPr="0069108A">
        <w:t>ISSUE</w:t>
      </w:r>
    </w:p>
    <w:p w14:paraId="45D466FD" w14:textId="77777777" w:rsidR="0069108A" w:rsidRPr="00756724" w:rsidRDefault="0069108A" w:rsidP="0069108A">
      <w:pPr>
        <w:rPr>
          <w:rStyle w:val="ECCParagraph"/>
        </w:rPr>
      </w:pPr>
      <w:r w:rsidRPr="00756724">
        <w:rPr>
          <w:rStyle w:val="ECCParagraph"/>
        </w:rPr>
        <w:t xml:space="preserve">Resolution </w:t>
      </w:r>
      <w:r w:rsidRPr="00756724">
        <w:rPr>
          <w:rStyle w:val="ECCHLbold"/>
        </w:rPr>
        <w:t>86 (Rev. WRC-07)</w:t>
      </w:r>
      <w:r w:rsidRPr="00756724">
        <w:rPr>
          <w:rStyle w:val="ECCParagraph"/>
        </w:rPr>
        <w:t xml:space="preserve"> “Implementation of Resolution </w:t>
      </w:r>
      <w:r w:rsidRPr="00C37029">
        <w:t>86 (Rev. Marrakesh, 2002)</w:t>
      </w:r>
      <w:r w:rsidRPr="00756724">
        <w:rPr>
          <w:rStyle w:val="ECCParagraph"/>
        </w:rPr>
        <w:t xml:space="preserve"> of the Plenipotentiary Conference” </w:t>
      </w:r>
    </w:p>
    <w:p w14:paraId="007FDE6B" w14:textId="77777777" w:rsidR="0069108A" w:rsidRPr="00756724" w:rsidRDefault="0069108A" w:rsidP="0069108A">
      <w:pPr>
        <w:rPr>
          <w:rStyle w:val="ECCParagraph"/>
        </w:rPr>
      </w:pPr>
      <w:r w:rsidRPr="00756724">
        <w:rPr>
          <w:rStyle w:val="ECCParagraph"/>
        </w:rPr>
        <w:t>resolves to invite future WRCs</w:t>
      </w:r>
    </w:p>
    <w:p w14:paraId="44844E91" w14:textId="181BF063" w:rsidR="0069108A" w:rsidRPr="0069108A" w:rsidRDefault="0069108A" w:rsidP="0069108A">
      <w:pPr>
        <w:pStyle w:val="ECCNumberedList"/>
      </w:pPr>
      <w:r w:rsidRPr="00756724">
        <w:t xml:space="preserve">to consider any proposals which deal with deficiencies and improvements in the advance publication, coordination, notification and recording procedures of the Radio Regulations for frequency assignments pertaining to space services which have either been identified by the Board and included in the Rules of Procedure or which have been identified by administrations or by the Radiocommunication Bureau, as </w:t>
      </w:r>
      <w:r w:rsidR="00B3040D" w:rsidRPr="00756724">
        <w:t>appropriate.</w:t>
      </w:r>
    </w:p>
    <w:p w14:paraId="22C6E426" w14:textId="77777777" w:rsidR="0069108A" w:rsidRPr="0069108A" w:rsidRDefault="0069108A" w:rsidP="0069108A">
      <w:pPr>
        <w:pStyle w:val="ECCNumberedList"/>
        <w:rPr>
          <w:rStyle w:val="ECCParagraph"/>
        </w:rPr>
      </w:pPr>
      <w:r w:rsidRPr="00756724">
        <w:t xml:space="preserve">to ensure that these procedures and the related appendices of the Radio Regulations reflect the latest technologies, as far as possible, </w:t>
      </w:r>
    </w:p>
    <w:p w14:paraId="432B5215" w14:textId="77777777" w:rsidR="0069108A" w:rsidRPr="0069108A" w:rsidRDefault="0069108A" w:rsidP="0069108A">
      <w:pPr>
        <w:pStyle w:val="Titre1"/>
      </w:pPr>
      <w:r w:rsidRPr="0069108A">
        <w:t xml:space="preserve">Preliminary overall CEPT position </w:t>
      </w:r>
    </w:p>
    <w:p w14:paraId="6FF8C605" w14:textId="403C14FD" w:rsidR="0069108A" w:rsidRPr="00756724" w:rsidRDefault="0069108A" w:rsidP="0069108A">
      <w:pPr>
        <w:rPr>
          <w:rStyle w:val="ECCParagraph"/>
        </w:rPr>
      </w:pPr>
      <w:r w:rsidRPr="00756724">
        <w:rPr>
          <w:rStyle w:val="ECCParagraph"/>
        </w:rPr>
        <w:t>CEPT supports retaining the current process of continuing evolution at successive WRCs of the regime governing space services. CEPT also favours a stable and predictable regulatory framework for efficient use of spectrum and orbit resources.</w:t>
      </w:r>
      <w:r>
        <w:rPr>
          <w:rStyle w:val="ECCParagraph"/>
        </w:rPr>
        <w:t xml:space="preserve"> </w:t>
      </w:r>
      <w:r w:rsidRPr="00756724">
        <w:rPr>
          <w:rStyle w:val="ECCParagraph"/>
        </w:rPr>
        <w:t>CEPT intends to develop specific positions susceptible to bring improvement to the regulatory process.</w:t>
      </w:r>
    </w:p>
    <w:p w14:paraId="35D19837" w14:textId="23DA7FCE" w:rsidR="0069108A" w:rsidRDefault="0069108A" w:rsidP="0069108A">
      <w:pPr>
        <w:rPr>
          <w:rStyle w:val="ECCParagraph"/>
        </w:rPr>
      </w:pPr>
      <w:r w:rsidRPr="00756724">
        <w:rPr>
          <w:rStyle w:val="ECCParagraph"/>
        </w:rPr>
        <w:t xml:space="preserve">CEPT favours the review of any RR provision which can bring accurate solutions to specific detected inconsistencies and develop new improved provisions with emphasis on solving the most urgent issues, </w:t>
      </w:r>
      <w:r w:rsidR="00B3040D" w:rsidRPr="00756724">
        <w:rPr>
          <w:rStyle w:val="ECCParagraph"/>
        </w:rPr>
        <w:t>i.e.,</w:t>
      </w:r>
      <w:r w:rsidRPr="00756724">
        <w:rPr>
          <w:rStyle w:val="ECCParagraph"/>
        </w:rPr>
        <w:t xml:space="preserve"> well characterized issues whose improvement is urgent and impacting.</w:t>
      </w:r>
    </w:p>
    <w:p w14:paraId="44C94D1F" w14:textId="77777777" w:rsidR="0069108A" w:rsidRPr="0069108A" w:rsidRDefault="0069108A" w:rsidP="0069108A">
      <w:pPr>
        <w:pStyle w:val="Titre2"/>
        <w:rPr>
          <w:rStyle w:val="ECCParagraph"/>
        </w:rPr>
      </w:pPr>
      <w:r w:rsidRPr="00756724">
        <w:rPr>
          <w:rStyle w:val="ECCParagraph"/>
        </w:rPr>
        <w:t xml:space="preserve">CEPT positions on specific </w:t>
      </w:r>
      <w:r w:rsidRPr="0069108A">
        <w:rPr>
          <w:rStyle w:val="ECCParagraph"/>
        </w:rPr>
        <w:t>TOPICS under Agenda item 7</w:t>
      </w:r>
    </w:p>
    <w:p w14:paraId="79A0819D" w14:textId="20D1DA2E" w:rsidR="0069108A" w:rsidRPr="00E93336" w:rsidRDefault="006F193C" w:rsidP="0069108A">
      <w:pPr>
        <w:pStyle w:val="ECCEditorsNote"/>
      </w:pPr>
      <w:r>
        <w:t>’</w:t>
      </w:r>
      <w:r w:rsidR="006C24F5" w:rsidRPr="00E93336">
        <w:t>’</w:t>
      </w:r>
      <w:r w:rsidR="0069108A" w:rsidRPr="00E93336">
        <w:t xml:space="preserve">WP4A </w:t>
      </w:r>
      <w:r w:rsidR="008A1FFD" w:rsidRPr="00E93336">
        <w:t>ha</w:t>
      </w:r>
      <w:r w:rsidR="00902FE9" w:rsidRPr="00E93336">
        <w:t>s</w:t>
      </w:r>
      <w:r w:rsidR="008A1FFD" w:rsidRPr="00E93336">
        <w:t xml:space="preserve"> </w:t>
      </w:r>
      <w:r w:rsidR="0069108A" w:rsidRPr="00E93336">
        <w:t xml:space="preserve">established a list of </w:t>
      </w:r>
      <w:r w:rsidR="00C834F4">
        <w:t>final Topics</w:t>
      </w:r>
      <w:r w:rsidR="008A1FFD" w:rsidRPr="00E93336">
        <w:t xml:space="preserve"> </w:t>
      </w:r>
      <w:r w:rsidR="00C834F4">
        <w:t>of</w:t>
      </w:r>
      <w:r w:rsidR="0069108A" w:rsidRPr="00E93336">
        <w:t xml:space="preserve"> AI</w:t>
      </w:r>
      <w:r w:rsidR="008A1FFD" w:rsidRPr="00E93336">
        <w:t xml:space="preserve"> </w:t>
      </w:r>
      <w:r w:rsidR="0069108A" w:rsidRPr="00E93336">
        <w:t xml:space="preserve">7 </w:t>
      </w:r>
      <w:r w:rsidR="008A1FFD" w:rsidRPr="00E93336">
        <w:t>Topics</w:t>
      </w:r>
      <w:r w:rsidR="00902FE9" w:rsidRPr="00E93336">
        <w:t>,</w:t>
      </w:r>
      <w:r w:rsidR="0069108A" w:rsidRPr="00E93336">
        <w:t xml:space="preserve"> in which the </w:t>
      </w:r>
      <w:r w:rsidR="002D72E4" w:rsidRPr="00E93336">
        <w:t>item</w:t>
      </w:r>
      <w:r w:rsidR="00FC07BA" w:rsidRPr="00E93336">
        <w:t xml:space="preserve"> Article 21 scaling factor equations in No.21.16.6 </w:t>
      </w:r>
      <w:r w:rsidR="0009780C">
        <w:t>is not</w:t>
      </w:r>
      <w:r w:rsidR="0069108A" w:rsidRPr="00E93336">
        <w:t xml:space="preserve"> included.</w:t>
      </w:r>
    </w:p>
    <w:p w14:paraId="3449E787" w14:textId="03AE9581" w:rsidR="00847FF3" w:rsidRDefault="00847FF3" w:rsidP="00847FF3">
      <w:pPr>
        <w:pStyle w:val="Lgende"/>
      </w:pPr>
      <w:r w:rsidRPr="00E93336">
        <w:t xml:space="preserve">Table </w:t>
      </w:r>
      <w:r w:rsidRPr="00847FF3">
        <w:fldChar w:fldCharType="begin"/>
      </w:r>
      <w:r w:rsidRPr="00E93336">
        <w:rPr>
          <w:lang w:val="en-US"/>
        </w:rPr>
        <w:instrText xml:space="preserve"> SEQ Table \* ARABIC </w:instrText>
      </w:r>
      <w:r w:rsidRPr="00847FF3">
        <w:fldChar w:fldCharType="separate"/>
      </w:r>
      <w:r w:rsidRPr="00E93336">
        <w:t>1</w:t>
      </w:r>
      <w:r w:rsidRPr="00847FF3">
        <w:fldChar w:fldCharType="end"/>
      </w:r>
      <w:r w:rsidRPr="00E93336">
        <w:t xml:space="preserve">: Summary of the CEPT Positions on Topics/items under agenda item 7 </w:t>
      </w:r>
    </w:p>
    <w:tbl>
      <w:tblPr>
        <w:tblStyle w:val="ECCTable-redheader"/>
        <w:tblW w:w="9493" w:type="dxa"/>
        <w:tblInd w:w="0" w:type="dxa"/>
        <w:tblLook w:val="04A0" w:firstRow="1" w:lastRow="0" w:firstColumn="1" w:lastColumn="0" w:noHBand="0" w:noVBand="1"/>
      </w:tblPr>
      <w:tblGrid>
        <w:gridCol w:w="1106"/>
        <w:gridCol w:w="1725"/>
        <w:gridCol w:w="5821"/>
        <w:gridCol w:w="841"/>
      </w:tblGrid>
      <w:tr w:rsidR="005362A2" w:rsidRPr="00235592" w14:paraId="1E3EC3A4" w14:textId="77777777" w:rsidTr="001A21B4">
        <w:trPr>
          <w:cnfStyle w:val="100000000000" w:firstRow="1" w:lastRow="0" w:firstColumn="0" w:lastColumn="0" w:oddVBand="0" w:evenVBand="0" w:oddHBand="0" w:evenHBand="0" w:firstRowFirstColumn="0" w:firstRowLastColumn="0" w:lastRowFirstColumn="0" w:lastRowLastColumn="0"/>
        </w:trPr>
        <w:tc>
          <w:tcPr>
            <w:tcW w:w="1106" w:type="dxa"/>
          </w:tcPr>
          <w:p w14:paraId="7F9AE783" w14:textId="77777777" w:rsidR="005362A2" w:rsidRPr="005362A2" w:rsidRDefault="005362A2" w:rsidP="005362A2">
            <w:pPr>
              <w:pStyle w:val="ECCTableHeaderwhitefont"/>
            </w:pPr>
            <w:r w:rsidRPr="004F2442">
              <w:rPr>
                <w:rStyle w:val="ECCParagraph"/>
              </w:rPr>
              <w:t>Topic</w:t>
            </w:r>
            <w:r w:rsidRPr="005362A2">
              <w:rPr>
                <w:rStyle w:val="ECCParagraph"/>
              </w:rPr>
              <w:t>/</w:t>
            </w:r>
            <w:r w:rsidRPr="005362A2">
              <w:rPr>
                <w:rStyle w:val="ECCParagraph"/>
              </w:rPr>
              <w:br/>
              <w:t>item</w:t>
            </w:r>
          </w:p>
        </w:tc>
        <w:tc>
          <w:tcPr>
            <w:tcW w:w="1725" w:type="dxa"/>
          </w:tcPr>
          <w:p w14:paraId="74B08CDD" w14:textId="77777777" w:rsidR="005362A2" w:rsidRPr="005362A2" w:rsidRDefault="005362A2" w:rsidP="005362A2">
            <w:pPr>
              <w:pStyle w:val="ECCTableHeaderwhitefont"/>
            </w:pPr>
            <w:r w:rsidRPr="004F2442">
              <w:rPr>
                <w:rStyle w:val="ECCParagraph"/>
              </w:rPr>
              <w:t>Title</w:t>
            </w:r>
          </w:p>
        </w:tc>
        <w:tc>
          <w:tcPr>
            <w:tcW w:w="5821" w:type="dxa"/>
          </w:tcPr>
          <w:p w14:paraId="3418F94A" w14:textId="77777777" w:rsidR="005362A2" w:rsidRPr="005362A2" w:rsidRDefault="005362A2" w:rsidP="005362A2">
            <w:pPr>
              <w:pStyle w:val="ECCTableHeaderwhitefont"/>
            </w:pPr>
            <w:r w:rsidRPr="004F2442">
              <w:rPr>
                <w:rStyle w:val="ECCParagraph"/>
              </w:rPr>
              <w:t>CEPT position</w:t>
            </w:r>
          </w:p>
        </w:tc>
        <w:tc>
          <w:tcPr>
            <w:tcW w:w="841" w:type="dxa"/>
          </w:tcPr>
          <w:p w14:paraId="3D20613A" w14:textId="77777777" w:rsidR="005362A2" w:rsidRPr="005362A2" w:rsidRDefault="005362A2" w:rsidP="005362A2">
            <w:pPr>
              <w:pStyle w:val="ECCTableHeaderwhitefont"/>
            </w:pPr>
            <w:r w:rsidRPr="004F2442">
              <w:rPr>
                <w:rStyle w:val="ECCParagraph"/>
              </w:rPr>
              <w:t>Annex</w:t>
            </w:r>
          </w:p>
        </w:tc>
      </w:tr>
      <w:tr w:rsidR="005362A2" w:rsidRPr="00235592" w14:paraId="318C7116" w14:textId="77777777" w:rsidTr="001A21B4">
        <w:tc>
          <w:tcPr>
            <w:tcW w:w="1106" w:type="dxa"/>
          </w:tcPr>
          <w:p w14:paraId="68E42EB0" w14:textId="77777777" w:rsidR="005362A2" w:rsidRPr="005362A2" w:rsidRDefault="005362A2" w:rsidP="005362A2">
            <w:pPr>
              <w:pStyle w:val="ECCTabletext"/>
            </w:pPr>
            <w:r w:rsidRPr="003C4446">
              <w:t>A</w:t>
            </w:r>
          </w:p>
        </w:tc>
        <w:tc>
          <w:tcPr>
            <w:tcW w:w="1725" w:type="dxa"/>
          </w:tcPr>
          <w:p w14:paraId="14DFF40D" w14:textId="77777777" w:rsidR="005362A2" w:rsidRPr="005362A2" w:rsidRDefault="005362A2" w:rsidP="005362A2">
            <w:pPr>
              <w:pStyle w:val="ECCTabletext"/>
            </w:pPr>
            <w:r w:rsidRPr="004F2442">
              <w:t>Tolerances for non-GSO orbital characteristics</w:t>
            </w:r>
          </w:p>
        </w:tc>
        <w:tc>
          <w:tcPr>
            <w:tcW w:w="5821" w:type="dxa"/>
          </w:tcPr>
          <w:p w14:paraId="6EA24F97" w14:textId="77777777" w:rsidR="005362A2" w:rsidRPr="005362A2" w:rsidRDefault="005362A2" w:rsidP="005362A2">
            <w:pPr>
              <w:pStyle w:val="ECCBulletsLv1"/>
              <w:rPr>
                <w:rStyle w:val="ECCHLyellow"/>
              </w:rPr>
            </w:pPr>
            <w:r w:rsidRPr="002E2D84">
              <w:rPr>
                <w:rStyle w:val="ECCParagraph"/>
              </w:rPr>
              <w:t xml:space="preserve">CEPT </w:t>
            </w:r>
            <w:r w:rsidRPr="005362A2">
              <w:t xml:space="preserve">supports the development of the definition of tolerances limited to the four orbital characteristics of non-GSO space stations in FSS, BSS and MSS </w:t>
            </w:r>
            <w:r w:rsidRPr="005362A2">
              <w:rPr>
                <w:rStyle w:val="ECCParagraph"/>
              </w:rPr>
              <w:t>identifying a “notified orbital plane”.</w:t>
            </w:r>
            <w:r w:rsidRPr="005362A2">
              <w:rPr>
                <w:rStyle w:val="ECCHLyellow"/>
              </w:rPr>
              <w:t xml:space="preserve"> </w:t>
            </w:r>
          </w:p>
          <w:p w14:paraId="63D44EE3" w14:textId="77777777" w:rsidR="005362A2" w:rsidRPr="005362A2" w:rsidRDefault="005362A2" w:rsidP="005362A2">
            <w:pPr>
              <w:pStyle w:val="ECCBulletsLv1"/>
              <w:rPr>
                <w:rStyle w:val="ECCHLyellow"/>
              </w:rPr>
            </w:pPr>
            <w:r w:rsidRPr="002E2D84">
              <w:t>CEPT does</w:t>
            </w:r>
            <w:r w:rsidRPr="005362A2">
              <w:t xml:space="preserve"> not support the development of tolerances under this topic for the orbital characteristics of non-GSO space stations whose frequency assignments belong to services other than the FSS, BSS and MSS. </w:t>
            </w:r>
          </w:p>
          <w:p w14:paraId="62E33E31" w14:textId="0026551E" w:rsidR="005362A2" w:rsidRPr="005362A2" w:rsidRDefault="005362A2" w:rsidP="005362A2">
            <w:pPr>
              <w:pStyle w:val="ECCBulletsLv1"/>
            </w:pPr>
            <w:r w:rsidRPr="000C3684">
              <w:lastRenderedPageBreak/>
              <w:t xml:space="preserve">CEPT supports the development of these tolerances in the context of </w:t>
            </w:r>
            <w:r w:rsidRPr="005362A2">
              <w:t xml:space="preserve">ITU regulatory procedures such as BIU and the milestone-based approach. In the absence of such </w:t>
            </w:r>
            <w:r w:rsidR="00B3040D" w:rsidRPr="005362A2">
              <w:t>tolerances,</w:t>
            </w:r>
            <w:r w:rsidRPr="005362A2">
              <w:t xml:space="preserve"> it is unclear whether the requirements of Resolution </w:t>
            </w:r>
            <w:r w:rsidRPr="005362A2">
              <w:rPr>
                <w:rStyle w:val="ECCHLbold"/>
              </w:rPr>
              <w:t xml:space="preserve">35 (WRC-19) </w:t>
            </w:r>
            <w:r w:rsidRPr="005362A2">
              <w:t>are met.</w:t>
            </w:r>
          </w:p>
          <w:p w14:paraId="42D5D4F0" w14:textId="77777777" w:rsidR="005362A2" w:rsidRPr="005362A2" w:rsidRDefault="005362A2" w:rsidP="005362A2">
            <w:pPr>
              <w:pStyle w:val="ECCBulletsLv1"/>
            </w:pPr>
            <w:r w:rsidRPr="002E2D84">
              <w:t>To avoid collision with another non-GSO space station or to permit reorgani</w:t>
            </w:r>
            <w:r w:rsidRPr="005362A2">
              <w:t>sation of satellites in an orbit-plane after a launch of new non-GSO space stations, CEPT supports specific regulatory measures to temporary exceed the defined tolerances if final tolerances definition could not address such operational requirements.</w:t>
            </w:r>
          </w:p>
          <w:p w14:paraId="36EC8582" w14:textId="631658D6" w:rsidR="006F193C" w:rsidRPr="00D35DAB" w:rsidRDefault="005362A2" w:rsidP="00D35DAB">
            <w:pPr>
              <w:pStyle w:val="ECCBulletsLv1"/>
              <w:rPr>
                <w:rStyle w:val="ECCHLyellow"/>
                <w:shd w:val="clear" w:color="auto" w:fill="auto"/>
              </w:rPr>
            </w:pPr>
            <w:r w:rsidRPr="002E2D84">
              <w:t>CEPT supports the development of appropriate regulatory consequences for frequency assignments to non-GSO space stations that do not maintain these to-be-developed orbital tolerances</w:t>
            </w:r>
            <w:r w:rsidRPr="005362A2">
              <w:t>.</w:t>
            </w:r>
          </w:p>
          <w:p w14:paraId="2056CDB0" w14:textId="4D39DAB3" w:rsidR="00D35DAB" w:rsidRPr="00710201" w:rsidRDefault="00D35DAB" w:rsidP="005362A2">
            <w:pPr>
              <w:pStyle w:val="ECCBulletsLv1"/>
              <w:rPr>
                <w:rStyle w:val="ECCHLyellow"/>
              </w:rPr>
            </w:pPr>
            <w:r w:rsidRPr="00710201">
              <w:rPr>
                <w:rStyle w:val="ECCHLyellow"/>
              </w:rPr>
              <w:t>CEPT</w:t>
            </w:r>
            <w:r w:rsidRPr="00D35DAB">
              <w:rPr>
                <w:rStyle w:val="ECCHLyellow"/>
              </w:rPr>
              <w:t xml:space="preserve"> supports the adoption of Method A3 of the CPM text. National administrations already have the mandate, expertise, and responsibility to ensure that specific orbital tolerances are respected. The authority to determine, authorize and supervise orbital tolerances should continue to lie with the national administrations</w:t>
            </w:r>
            <w:r>
              <w:rPr>
                <w:rStyle w:val="ECCHLyellow"/>
              </w:rPr>
              <w:t xml:space="preserve">. Moreover, Method A3 </w:t>
            </w:r>
            <w:r w:rsidRPr="00D35DAB">
              <w:rPr>
                <w:rStyle w:val="ECCHLyellow"/>
              </w:rPr>
              <w:t xml:space="preserve">allows administrations to </w:t>
            </w:r>
            <w:proofErr w:type="gramStart"/>
            <w:r w:rsidRPr="00D35DAB">
              <w:rPr>
                <w:rStyle w:val="ECCHLyellow"/>
              </w:rPr>
              <w:t>take into account</w:t>
            </w:r>
            <w:proofErr w:type="gramEnd"/>
            <w:r w:rsidRPr="00D35DAB">
              <w:rPr>
                <w:rStyle w:val="ECCHLyellow"/>
              </w:rPr>
              <w:t xml:space="preserve"> relevant factors, such as the design of satellite systems, impact of drag and altitude, as well the solar cycle, when determining orbital tolerances</w:t>
            </w:r>
          </w:p>
        </w:tc>
        <w:tc>
          <w:tcPr>
            <w:tcW w:w="841" w:type="dxa"/>
          </w:tcPr>
          <w:p w14:paraId="3D1D8BE4" w14:textId="77777777" w:rsidR="005362A2" w:rsidRPr="005362A2" w:rsidRDefault="002208C7" w:rsidP="005362A2">
            <w:pPr>
              <w:pStyle w:val="ECCTabletext"/>
            </w:pPr>
            <w:hyperlink w:anchor="_ISSUE" w:history="1">
              <w:r w:rsidR="005362A2" w:rsidRPr="005362A2">
                <w:rPr>
                  <w:rStyle w:val="Lienhypertexte"/>
                </w:rPr>
                <w:t>1</w:t>
              </w:r>
            </w:hyperlink>
          </w:p>
        </w:tc>
      </w:tr>
      <w:tr w:rsidR="005362A2" w:rsidRPr="00235592" w14:paraId="4C1A105F" w14:textId="77777777" w:rsidTr="001A21B4">
        <w:tc>
          <w:tcPr>
            <w:tcW w:w="1106" w:type="dxa"/>
          </w:tcPr>
          <w:p w14:paraId="73DB28DD" w14:textId="77777777" w:rsidR="005362A2" w:rsidRPr="005362A2" w:rsidRDefault="005362A2" w:rsidP="005362A2">
            <w:pPr>
              <w:pStyle w:val="ECCTabletext"/>
            </w:pPr>
            <w:r w:rsidRPr="003C4446">
              <w:t>B</w:t>
            </w:r>
          </w:p>
        </w:tc>
        <w:tc>
          <w:tcPr>
            <w:tcW w:w="1725" w:type="dxa"/>
          </w:tcPr>
          <w:p w14:paraId="39BB9840" w14:textId="77777777" w:rsidR="005362A2" w:rsidRPr="00990F0F" w:rsidRDefault="005362A2" w:rsidP="005362A2">
            <w:pPr>
              <w:pStyle w:val="ECCTabletext"/>
              <w:rPr>
                <w:lang w:val="it-CH"/>
              </w:rPr>
            </w:pPr>
            <w:r w:rsidRPr="00990F0F">
              <w:rPr>
                <w:lang w:val="it-CH"/>
              </w:rPr>
              <w:t xml:space="preserve">Non-GSO BIU post-milestone procedure </w:t>
            </w:r>
          </w:p>
        </w:tc>
        <w:tc>
          <w:tcPr>
            <w:tcW w:w="5821" w:type="dxa"/>
          </w:tcPr>
          <w:p w14:paraId="0B95C66D" w14:textId="08569DE0" w:rsidR="002C333A" w:rsidRPr="002C333A" w:rsidRDefault="002C333A" w:rsidP="002C333A">
            <w:pPr>
              <w:pStyle w:val="ECCBulletsLv1"/>
            </w:pPr>
            <w:r w:rsidRPr="00AE5289">
              <w:t xml:space="preserve">CEPT supports the adoption </w:t>
            </w:r>
            <w:r w:rsidRPr="002C333A">
              <w:t xml:space="preserve">of a new Resolution to replace </w:t>
            </w:r>
            <w:r w:rsidRPr="002C333A">
              <w:rPr>
                <w:rStyle w:val="Accentuation"/>
              </w:rPr>
              <w:t>resolves</w:t>
            </w:r>
            <w:r w:rsidRPr="002C333A">
              <w:t xml:space="preserve"> 19 of Resolution </w:t>
            </w:r>
            <w:r w:rsidRPr="002C333A">
              <w:rPr>
                <w:rStyle w:val="ECCHLbold"/>
              </w:rPr>
              <w:t>35</w:t>
            </w:r>
            <w:r w:rsidRPr="002C333A">
              <w:t xml:space="preserve"> </w:t>
            </w:r>
            <w:r w:rsidRPr="002C333A">
              <w:rPr>
                <w:rStyle w:val="ECCHLbold"/>
              </w:rPr>
              <w:t xml:space="preserve">(WRC-19) </w:t>
            </w:r>
            <w:r w:rsidRPr="002C333A">
              <w:t xml:space="preserve">at WRC-23 suppressing </w:t>
            </w:r>
            <w:r w:rsidRPr="002C333A">
              <w:rPr>
                <w:rStyle w:val="Accentuation"/>
              </w:rPr>
              <w:t>resolves</w:t>
            </w:r>
            <w:r w:rsidRPr="002C333A">
              <w:t xml:space="preserve"> 19 of Resolution </w:t>
            </w:r>
            <w:r w:rsidRPr="002C333A">
              <w:rPr>
                <w:rStyle w:val="ECCHLbold"/>
              </w:rPr>
              <w:t>35</w:t>
            </w:r>
            <w:r w:rsidRPr="002C333A">
              <w:t xml:space="preserve"> </w:t>
            </w:r>
            <w:r w:rsidRPr="002C333A">
              <w:rPr>
                <w:rStyle w:val="ECCHLbold"/>
              </w:rPr>
              <w:t>(WRC-19)</w:t>
            </w:r>
            <w:r w:rsidRPr="002C333A">
              <w:t xml:space="preserve"> and leaving the rest of the Resolution </w:t>
            </w:r>
            <w:r w:rsidRPr="002C333A">
              <w:rPr>
                <w:rStyle w:val="ECCHLbold"/>
              </w:rPr>
              <w:t>35</w:t>
            </w:r>
            <w:r w:rsidRPr="002C333A">
              <w:t xml:space="preserve"> </w:t>
            </w:r>
            <w:r w:rsidRPr="002C333A">
              <w:rPr>
                <w:rStyle w:val="ECCHLbold"/>
              </w:rPr>
              <w:t>(WRC-19)</w:t>
            </w:r>
            <w:r w:rsidRPr="002C333A">
              <w:t xml:space="preserve"> as is otherwise.</w:t>
            </w:r>
          </w:p>
          <w:p w14:paraId="0BE9EF22" w14:textId="77777777" w:rsidR="002C333A" w:rsidRPr="002C333A" w:rsidRDefault="002C333A" w:rsidP="002C333A">
            <w:pPr>
              <w:pStyle w:val="ECCBulletsLv1"/>
              <w:rPr>
                <w:rStyle w:val="ECCParagraph"/>
              </w:rPr>
            </w:pPr>
            <w:r w:rsidRPr="00AE5289">
              <w:t xml:space="preserve">CEPT supports a regulatory solution aligning the post milestone procedures in this new Resolution with No. </w:t>
            </w:r>
            <w:r w:rsidRPr="002C333A">
              <w:rPr>
                <w:rStyle w:val="ECCHLbold"/>
              </w:rPr>
              <w:t>11.49</w:t>
            </w:r>
            <w:r w:rsidRPr="002C333A">
              <w:t xml:space="preserve"> and Resolution </w:t>
            </w:r>
            <w:r w:rsidRPr="002C333A">
              <w:rPr>
                <w:rStyle w:val="ECCHLbold"/>
              </w:rPr>
              <w:t>35</w:t>
            </w:r>
            <w:r w:rsidRPr="002C333A">
              <w:t xml:space="preserve"> </w:t>
            </w:r>
            <w:r w:rsidRPr="002C333A">
              <w:rPr>
                <w:rStyle w:val="ECCHLbold"/>
              </w:rPr>
              <w:t>(WRC-19)</w:t>
            </w:r>
            <w:r w:rsidRPr="002C333A">
              <w:t xml:space="preserve"> allowing </w:t>
            </w:r>
            <w:r w:rsidRPr="002C333A">
              <w:rPr>
                <w:rStyle w:val="ECCParagraph"/>
              </w:rPr>
              <w:t>some operational flexibilities:</w:t>
            </w:r>
          </w:p>
          <w:p w14:paraId="2887B349" w14:textId="77777777" w:rsidR="002C333A" w:rsidRPr="00B138BF" w:rsidRDefault="002C333A" w:rsidP="0014729D">
            <w:pPr>
              <w:pStyle w:val="ECCBulletsLv2"/>
              <w:rPr>
                <w:rStyle w:val="ECCParagraph"/>
              </w:rPr>
            </w:pPr>
            <w:r w:rsidRPr="002C333A">
              <w:rPr>
                <w:rStyle w:val="ECCParagraph"/>
              </w:rPr>
              <w:t xml:space="preserve">Possibility to </w:t>
            </w:r>
            <w:r w:rsidRPr="00873A1B">
              <w:rPr>
                <w:rStyle w:val="ECCParagraph"/>
              </w:rPr>
              <w:t xml:space="preserve">operate </w:t>
            </w:r>
            <w:r w:rsidRPr="00E1289A">
              <w:rPr>
                <w:rStyle w:val="ECCHLyellow"/>
                <w:shd w:val="clear" w:color="auto" w:fill="auto"/>
              </w:rPr>
              <w:t>a minimum</w:t>
            </w:r>
            <w:r w:rsidRPr="00873A1B">
              <w:rPr>
                <w:rStyle w:val="ECCParagraph"/>
              </w:rPr>
              <w:t xml:space="preserve"> [95%] of the number of satellites notified in the MIFR without regulatory impact.</w:t>
            </w:r>
          </w:p>
          <w:p w14:paraId="78F5B961" w14:textId="095BA826" w:rsidR="002C333A" w:rsidRPr="00E1289A" w:rsidRDefault="002C333A" w:rsidP="0014729D">
            <w:pPr>
              <w:pStyle w:val="ECCBulletsLv2"/>
              <w:rPr>
                <w:rStyle w:val="ECCParagraph"/>
              </w:rPr>
            </w:pPr>
            <w:r w:rsidRPr="00B138BF">
              <w:rPr>
                <w:rStyle w:val="ECCParagraph"/>
              </w:rPr>
              <w:t xml:space="preserve">Possibility to operate less than [95%] </w:t>
            </w:r>
            <w:r w:rsidRPr="002C333A">
              <w:rPr>
                <w:rStyle w:val="ECCParagraph"/>
              </w:rPr>
              <w:t>of the number of satellites notified in the MIFR for a maximum period of 3 years without regulatory impact. (A suspension process analogue to the GSO case is proposed.)</w:t>
            </w:r>
          </w:p>
          <w:p w14:paraId="05D5B17B" w14:textId="079536E7" w:rsidR="002C333A" w:rsidRPr="00873A1B" w:rsidRDefault="002C333A" w:rsidP="0014729D">
            <w:pPr>
              <w:pStyle w:val="ECCBulletsLv2"/>
              <w:rPr>
                <w:rStyle w:val="ECCParagraph"/>
                <w:lang w:eastAsia="en-US"/>
              </w:rPr>
            </w:pPr>
            <w:r w:rsidRPr="002C333A">
              <w:t xml:space="preserve">Considering the process to duly notify the Bureau based on similar regulatory mechanism as in No. </w:t>
            </w:r>
            <w:r w:rsidRPr="00E1289A">
              <w:rPr>
                <w:rStyle w:val="ECCHLbold"/>
                <w:b w:val="0"/>
                <w:bCs w:val="0"/>
              </w:rPr>
              <w:t>11.49</w:t>
            </w:r>
            <w:r w:rsidRPr="00873A1B">
              <w:t>.</w:t>
            </w:r>
          </w:p>
          <w:p w14:paraId="553FDCA9" w14:textId="53B8F606" w:rsidR="002C333A" w:rsidRPr="00E1289A" w:rsidDel="00F25B8B" w:rsidRDefault="002C333A">
            <w:pPr>
              <w:pStyle w:val="ECCBulletsLv1"/>
              <w:rPr>
                <w:rStyle w:val="ECCParagraph"/>
              </w:rPr>
            </w:pPr>
            <w:r w:rsidRPr="002C333A">
              <w:t>CEPT supports </w:t>
            </w:r>
            <w:r w:rsidRPr="00E1289A">
              <w:rPr>
                <w:rStyle w:val="ECCHLyellow"/>
                <w:shd w:val="clear" w:color="auto" w:fill="auto"/>
              </w:rPr>
              <w:t xml:space="preserve">a </w:t>
            </w:r>
            <w:r w:rsidRPr="00873A1B">
              <w:t xml:space="preserve">reduction </w:t>
            </w:r>
            <w:r w:rsidRPr="00E1289A">
              <w:rPr>
                <w:rStyle w:val="ECCHLyellow"/>
                <w:shd w:val="clear" w:color="auto" w:fill="auto"/>
              </w:rPr>
              <w:t xml:space="preserve">in </w:t>
            </w:r>
            <w:r w:rsidRPr="00873A1B">
              <w:t xml:space="preserve">the number of satellites notified in the MIFR if </w:t>
            </w:r>
            <w:r w:rsidRPr="00E1289A">
              <w:rPr>
                <w:rStyle w:val="ECCHLyellow"/>
                <w:shd w:val="clear" w:color="auto" w:fill="auto"/>
              </w:rPr>
              <w:t xml:space="preserve">the deployed number of satellites falls below </w:t>
            </w:r>
            <w:r w:rsidRPr="00873A1B">
              <w:t xml:space="preserve">[95%] </w:t>
            </w:r>
            <w:r w:rsidRPr="00873A1B">
              <w:rPr>
                <w:rStyle w:val="ECCParagraph"/>
              </w:rPr>
              <w:t xml:space="preserve">of </w:t>
            </w:r>
            <w:r w:rsidRPr="00E1289A">
              <w:rPr>
                <w:rStyle w:val="ECCHLyellow"/>
                <w:shd w:val="clear" w:color="auto" w:fill="auto"/>
              </w:rPr>
              <w:t xml:space="preserve">that which was </w:t>
            </w:r>
            <w:r w:rsidRPr="00873A1B">
              <w:rPr>
                <w:rStyle w:val="ECCParagraph"/>
              </w:rPr>
              <w:t xml:space="preserve">notified in the MIFR for </w:t>
            </w:r>
            <w:r w:rsidRPr="00E1289A">
              <w:rPr>
                <w:rStyle w:val="ECCHLyellow"/>
                <w:shd w:val="clear" w:color="auto" w:fill="auto"/>
              </w:rPr>
              <w:t xml:space="preserve">a continuous period exceeding </w:t>
            </w:r>
            <w:r w:rsidRPr="00873A1B">
              <w:t>3 years</w:t>
            </w:r>
            <w:r w:rsidRPr="002C333A">
              <w:t>.</w:t>
            </w:r>
          </w:p>
          <w:p w14:paraId="505C8003" w14:textId="49649BD4" w:rsidR="005362A2" w:rsidRPr="005362A2" w:rsidRDefault="002C333A" w:rsidP="005362A2">
            <w:pPr>
              <w:pStyle w:val="ECCBulletsLv1"/>
            </w:pPr>
            <w:r w:rsidRPr="00AE5289">
              <w:t xml:space="preserve">CEPT </w:t>
            </w:r>
            <w:r w:rsidRPr="002C333A">
              <w:t xml:space="preserve">considers that the application of No. </w:t>
            </w:r>
            <w:r w:rsidRPr="002C333A">
              <w:rPr>
                <w:rStyle w:val="ECCHLbold"/>
              </w:rPr>
              <w:t>13.6</w:t>
            </w:r>
            <w:r w:rsidRPr="002C333A">
              <w:t xml:space="preserve"> by the BR is not an adequate solution for Topic B.</w:t>
            </w:r>
          </w:p>
        </w:tc>
        <w:tc>
          <w:tcPr>
            <w:tcW w:w="841" w:type="dxa"/>
          </w:tcPr>
          <w:p w14:paraId="07A7D16E" w14:textId="77777777" w:rsidR="005362A2" w:rsidRPr="005362A2" w:rsidRDefault="002208C7" w:rsidP="005362A2">
            <w:pPr>
              <w:pStyle w:val="ECCTabletext"/>
            </w:pPr>
            <w:hyperlink w:anchor="_ISSUE_1" w:history="1">
              <w:r w:rsidR="005362A2" w:rsidRPr="005362A2">
                <w:rPr>
                  <w:rStyle w:val="Lienhypertexte"/>
                </w:rPr>
                <w:t>2</w:t>
              </w:r>
            </w:hyperlink>
          </w:p>
        </w:tc>
      </w:tr>
      <w:tr w:rsidR="005362A2" w:rsidRPr="00235592" w14:paraId="3A3A74C1" w14:textId="77777777" w:rsidTr="001A21B4">
        <w:tc>
          <w:tcPr>
            <w:tcW w:w="1106" w:type="dxa"/>
          </w:tcPr>
          <w:p w14:paraId="1EF2FB2F" w14:textId="77777777" w:rsidR="005362A2" w:rsidRPr="005362A2" w:rsidRDefault="005362A2" w:rsidP="005362A2">
            <w:pPr>
              <w:pStyle w:val="ECCTabletext"/>
            </w:pPr>
            <w:r w:rsidRPr="003C4446">
              <w:t>C</w:t>
            </w:r>
          </w:p>
        </w:tc>
        <w:tc>
          <w:tcPr>
            <w:tcW w:w="1725" w:type="dxa"/>
          </w:tcPr>
          <w:p w14:paraId="6A9AF86A" w14:textId="77777777" w:rsidR="005362A2" w:rsidRPr="005362A2" w:rsidRDefault="005362A2" w:rsidP="005362A2">
            <w:pPr>
              <w:pStyle w:val="ECCTabletext"/>
            </w:pPr>
            <w:r w:rsidRPr="004F2442">
              <w:t xml:space="preserve">Protection of GSO MSS from non-GSO </w:t>
            </w:r>
            <w:r w:rsidRPr="004F2442">
              <w:lastRenderedPageBreak/>
              <w:t>emissions in 7/8 and 20/30 GHz</w:t>
            </w:r>
          </w:p>
        </w:tc>
        <w:tc>
          <w:tcPr>
            <w:tcW w:w="5821" w:type="dxa"/>
          </w:tcPr>
          <w:p w14:paraId="5638D924" w14:textId="77777777" w:rsidR="005362A2" w:rsidRPr="005362A2" w:rsidRDefault="005362A2" w:rsidP="005362A2">
            <w:r w:rsidRPr="00BC4D01">
              <w:rPr>
                <w:rStyle w:val="ECCParagraph"/>
              </w:rPr>
              <w:lastRenderedPageBreak/>
              <w:t>CEPT supports the identification and definition of criteria</w:t>
            </w:r>
            <w:r w:rsidRPr="005362A2">
              <w:rPr>
                <w:rStyle w:val="ECCParagraph"/>
              </w:rPr>
              <w:t xml:space="preserve">, extensions and additions of provisions in order to quantify the protection of GSO networks operating in the MSS from </w:t>
            </w:r>
            <w:r w:rsidRPr="005362A2">
              <w:rPr>
                <w:rStyle w:val="ECCParagraph"/>
              </w:rPr>
              <w:lastRenderedPageBreak/>
              <w:t>interference caused by non-GSO networks or systems operating in the same frequency bands 7250-7750 MHz (space-to-Earth), 7900-8025 MHz (Earth-to-space), 20.2-21.2 GHz (space-to-Earth) and 30-31 GHz (Earth-to-space) and in identical directions.</w:t>
            </w:r>
          </w:p>
        </w:tc>
        <w:tc>
          <w:tcPr>
            <w:tcW w:w="841" w:type="dxa"/>
          </w:tcPr>
          <w:p w14:paraId="5DEF23BA" w14:textId="77777777" w:rsidR="005362A2" w:rsidRPr="005362A2" w:rsidRDefault="002208C7" w:rsidP="005362A2">
            <w:pPr>
              <w:pStyle w:val="ECCTabletext"/>
            </w:pPr>
            <w:hyperlink w:anchor="_ISSUE_2" w:history="1">
              <w:r w:rsidR="005362A2" w:rsidRPr="005362A2">
                <w:rPr>
                  <w:rStyle w:val="Lienhypertexte"/>
                </w:rPr>
                <w:t>3</w:t>
              </w:r>
            </w:hyperlink>
          </w:p>
        </w:tc>
      </w:tr>
      <w:tr w:rsidR="005362A2" w:rsidRPr="00235592" w14:paraId="15D2B4D4" w14:textId="77777777" w:rsidTr="001A21B4">
        <w:tc>
          <w:tcPr>
            <w:tcW w:w="1106" w:type="dxa"/>
          </w:tcPr>
          <w:p w14:paraId="6F9DF650" w14:textId="0BE32B8D" w:rsidR="005362A2" w:rsidRPr="005362A2" w:rsidRDefault="005362A2" w:rsidP="005362A2">
            <w:pPr>
              <w:pStyle w:val="ECCTabletext"/>
            </w:pPr>
            <w:r>
              <w:t>D</w:t>
            </w:r>
            <w:r w:rsidR="00875A6A">
              <w:t>1</w:t>
            </w:r>
          </w:p>
        </w:tc>
        <w:tc>
          <w:tcPr>
            <w:tcW w:w="1725" w:type="dxa"/>
          </w:tcPr>
          <w:p w14:paraId="19FF51FA" w14:textId="77777777" w:rsidR="005362A2" w:rsidRPr="005362A2" w:rsidRDefault="005362A2" w:rsidP="005362A2">
            <w:pPr>
              <w:pStyle w:val="ECCTabletext"/>
            </w:pPr>
            <w:r>
              <w:t>M</w:t>
            </w:r>
            <w:r w:rsidRPr="005362A2">
              <w:t xml:space="preserve">odifications to Appendix 1 to Annex 4 of AP </w:t>
            </w:r>
            <w:r w:rsidRPr="005362A2">
              <w:rPr>
                <w:rStyle w:val="ECCHLbold"/>
              </w:rPr>
              <w:t>30B</w:t>
            </w:r>
          </w:p>
        </w:tc>
        <w:tc>
          <w:tcPr>
            <w:tcW w:w="5821" w:type="dxa"/>
          </w:tcPr>
          <w:p w14:paraId="72F8A17C" w14:textId="77777777" w:rsidR="005362A2" w:rsidRPr="005362A2" w:rsidRDefault="005362A2" w:rsidP="005362A2">
            <w:r>
              <w:rPr>
                <w:rStyle w:val="ECCParagraph"/>
              </w:rPr>
              <w:t>CEPT supports correcting</w:t>
            </w:r>
            <w:r w:rsidRPr="005362A2">
              <w:t xml:space="preserve"> the values of the coordination arc in the aggregate C/I calculation in Appendix 1 to Annex 4 of RR Appendix </w:t>
            </w:r>
            <w:r w:rsidRPr="005362A2">
              <w:rPr>
                <w:rStyle w:val="ECCHLbold"/>
              </w:rPr>
              <w:t>30B</w:t>
            </w:r>
            <w:r w:rsidRPr="005362A2">
              <w:t xml:space="preserve"> based on the coordination arc reductions decided at WRC-19.</w:t>
            </w:r>
          </w:p>
        </w:tc>
        <w:tc>
          <w:tcPr>
            <w:tcW w:w="841" w:type="dxa"/>
          </w:tcPr>
          <w:p w14:paraId="4757FEB1" w14:textId="77777777" w:rsidR="005362A2" w:rsidRPr="005362A2" w:rsidRDefault="002208C7" w:rsidP="005362A2">
            <w:pPr>
              <w:pStyle w:val="ECCTabletext"/>
            </w:pPr>
            <w:hyperlink w:anchor="_ISSUE_3" w:history="1">
              <w:r w:rsidR="005362A2" w:rsidRPr="005362A2">
                <w:rPr>
                  <w:rStyle w:val="Lienhypertexte"/>
                </w:rPr>
                <w:t>4</w:t>
              </w:r>
            </w:hyperlink>
          </w:p>
        </w:tc>
      </w:tr>
      <w:tr w:rsidR="001A0EB8" w:rsidRPr="00235592" w14:paraId="55A231A7" w14:textId="77777777" w:rsidTr="001A21B4">
        <w:tc>
          <w:tcPr>
            <w:tcW w:w="1106" w:type="dxa"/>
          </w:tcPr>
          <w:p w14:paraId="35D47900" w14:textId="1B08A298" w:rsidR="001A0EB8" w:rsidRDefault="00875A6A" w:rsidP="005362A2">
            <w:pPr>
              <w:pStyle w:val="ECCTabletext"/>
            </w:pPr>
            <w:r>
              <w:t>D2</w:t>
            </w:r>
          </w:p>
        </w:tc>
        <w:tc>
          <w:tcPr>
            <w:tcW w:w="1725" w:type="dxa"/>
          </w:tcPr>
          <w:p w14:paraId="3332D044" w14:textId="00DF46E9" w:rsidR="001A0EB8" w:rsidRDefault="007D7788" w:rsidP="005362A2">
            <w:pPr>
              <w:pStyle w:val="ECCTabletext"/>
            </w:pPr>
            <w:r w:rsidRPr="007D7788">
              <w:t>New AP 4 parameters for Rec. S.1503 updates</w:t>
            </w:r>
          </w:p>
        </w:tc>
        <w:tc>
          <w:tcPr>
            <w:tcW w:w="5821" w:type="dxa"/>
          </w:tcPr>
          <w:p w14:paraId="3B3DFD17" w14:textId="77777777" w:rsidR="00F6213E" w:rsidRPr="00F6213E" w:rsidRDefault="00F6213E" w:rsidP="00F6213E">
            <w:pPr>
              <w:pStyle w:val="ECCBulletsLv1"/>
            </w:pPr>
            <w:r>
              <w:t xml:space="preserve">CEPT </w:t>
            </w:r>
            <w:r w:rsidRPr="00F6213E">
              <w:t>supports making modifications to Appendix 4 in consequence to the update to Recommendation ITU-R S.1503.</w:t>
            </w:r>
          </w:p>
          <w:p w14:paraId="3F6C7D52" w14:textId="5BC8B8EB" w:rsidR="001A0EB8" w:rsidRDefault="00F6213E" w:rsidP="005362A2">
            <w:pPr>
              <w:pStyle w:val="ECCBulletsLv1"/>
              <w:rPr>
                <w:rStyle w:val="ECCParagraph"/>
              </w:rPr>
            </w:pPr>
            <w:r>
              <w:t xml:space="preserve">CEPT </w:t>
            </w:r>
            <w:r w:rsidRPr="00F6213E">
              <w:t xml:space="preserve">acknowledges the existence of other methods that could allow administrations to provide the additional parameters required by updates to Recommendation ITU-R S.1503, </w:t>
            </w:r>
            <w:r w:rsidR="00B3040D" w:rsidRPr="00F6213E">
              <w:t>e.g.,</w:t>
            </w:r>
            <w:r w:rsidRPr="00F6213E">
              <w:t xml:space="preserve"> by defining new fields in the.xml file that describes a </w:t>
            </w:r>
            <w:r w:rsidR="00B3040D" w:rsidRPr="00F6213E">
              <w:t>non-GSO system operating parameter</w:t>
            </w:r>
            <w:r w:rsidRPr="00F6213E">
              <w:t xml:space="preserve">. </w:t>
            </w:r>
          </w:p>
        </w:tc>
        <w:tc>
          <w:tcPr>
            <w:tcW w:w="841" w:type="dxa"/>
          </w:tcPr>
          <w:p w14:paraId="40108A9B" w14:textId="2FF22126" w:rsidR="001A0EB8" w:rsidRDefault="002A7AF1" w:rsidP="005362A2">
            <w:pPr>
              <w:pStyle w:val="ECCTabletext"/>
            </w:pPr>
            <w:r>
              <w:t>5</w:t>
            </w:r>
          </w:p>
        </w:tc>
      </w:tr>
      <w:tr w:rsidR="00875A6A" w:rsidRPr="00235592" w14:paraId="299673BF" w14:textId="77777777" w:rsidTr="001A21B4">
        <w:tc>
          <w:tcPr>
            <w:tcW w:w="1106" w:type="dxa"/>
          </w:tcPr>
          <w:p w14:paraId="1CD7CC5E" w14:textId="328AE235" w:rsidR="00875A6A" w:rsidRDefault="00875A6A" w:rsidP="005362A2">
            <w:pPr>
              <w:pStyle w:val="ECCTabletext"/>
            </w:pPr>
            <w:r>
              <w:t>D3</w:t>
            </w:r>
          </w:p>
        </w:tc>
        <w:tc>
          <w:tcPr>
            <w:tcW w:w="1725" w:type="dxa"/>
          </w:tcPr>
          <w:p w14:paraId="1DC7FBCE" w14:textId="74D9526C" w:rsidR="00875A6A" w:rsidRPr="00E4014A" w:rsidRDefault="001F4399" w:rsidP="005362A2">
            <w:pPr>
              <w:pStyle w:val="ECCTabletext"/>
              <w:rPr>
                <w:lang w:val="nb-NO"/>
              </w:rPr>
            </w:pPr>
            <w:r w:rsidRPr="00E4014A">
              <w:rPr>
                <w:lang w:val="nb-NO"/>
              </w:rPr>
              <w:t>BR reminders for BIU</w:t>
            </w:r>
            <w:r w:rsidR="00461781">
              <w:t xml:space="preserve"> and </w:t>
            </w:r>
            <w:r w:rsidRPr="00E4014A">
              <w:rPr>
                <w:lang w:val="nb-NO"/>
              </w:rPr>
              <w:t>BBIU</w:t>
            </w:r>
          </w:p>
        </w:tc>
        <w:tc>
          <w:tcPr>
            <w:tcW w:w="5821" w:type="dxa"/>
          </w:tcPr>
          <w:p w14:paraId="1C13D685" w14:textId="6FA8102D" w:rsidR="00875A6A" w:rsidRDefault="009704EF" w:rsidP="005362A2">
            <w:pPr>
              <w:rPr>
                <w:rStyle w:val="ECCParagraph"/>
              </w:rPr>
            </w:pPr>
            <w:r>
              <w:rPr>
                <w:rStyle w:val="ECCParagraph"/>
              </w:rPr>
              <w:t xml:space="preserve">CEPT supports </w:t>
            </w:r>
            <w:r w:rsidRPr="009704EF">
              <w:rPr>
                <w:rStyle w:val="ECCParagraph"/>
              </w:rPr>
              <w:t>to establish reminders for confirming the bringing into use or bringing back into use of a satellite network or system under</w:t>
            </w:r>
            <w:r w:rsidRPr="009704EF">
              <w:t xml:space="preserve"> Nos. </w:t>
            </w:r>
            <w:r w:rsidRPr="004A0F1E">
              <w:rPr>
                <w:rStyle w:val="ECCHLbold"/>
              </w:rPr>
              <w:t>11.44B</w:t>
            </w:r>
            <w:r w:rsidRPr="009704EF">
              <w:t xml:space="preserve">, </w:t>
            </w:r>
            <w:r w:rsidRPr="00E4014A">
              <w:rPr>
                <w:rStyle w:val="ECCHLbold"/>
              </w:rPr>
              <w:t>11.44C</w:t>
            </w:r>
            <w:r w:rsidRPr="009704EF">
              <w:t xml:space="preserve">, </w:t>
            </w:r>
            <w:r w:rsidRPr="00E4014A">
              <w:rPr>
                <w:rStyle w:val="ECCHLbold"/>
              </w:rPr>
              <w:t>11.44D</w:t>
            </w:r>
            <w:r w:rsidRPr="009704EF">
              <w:t xml:space="preserve"> and </w:t>
            </w:r>
            <w:r w:rsidRPr="00E4014A">
              <w:rPr>
                <w:rStyle w:val="ECCHLbold"/>
              </w:rPr>
              <w:t>11.44E</w:t>
            </w:r>
            <w:r w:rsidRPr="009704EF">
              <w:t>.</w:t>
            </w:r>
          </w:p>
        </w:tc>
        <w:tc>
          <w:tcPr>
            <w:tcW w:w="841" w:type="dxa"/>
          </w:tcPr>
          <w:p w14:paraId="40196723" w14:textId="76EE7FF3" w:rsidR="00875A6A" w:rsidRDefault="002A7AF1" w:rsidP="005362A2">
            <w:pPr>
              <w:pStyle w:val="ECCTabletext"/>
            </w:pPr>
            <w:r>
              <w:t>6</w:t>
            </w:r>
          </w:p>
        </w:tc>
      </w:tr>
      <w:tr w:rsidR="005362A2" w:rsidRPr="00235592" w14:paraId="61C6990C" w14:textId="77777777" w:rsidTr="001A21B4">
        <w:tc>
          <w:tcPr>
            <w:tcW w:w="1106" w:type="dxa"/>
          </w:tcPr>
          <w:p w14:paraId="4F6FEB67" w14:textId="77777777" w:rsidR="005362A2" w:rsidRPr="005362A2" w:rsidRDefault="005362A2" w:rsidP="005362A2">
            <w:pPr>
              <w:pStyle w:val="ECCTabletext"/>
            </w:pPr>
            <w:r>
              <w:t>E</w:t>
            </w:r>
          </w:p>
        </w:tc>
        <w:tc>
          <w:tcPr>
            <w:tcW w:w="1725" w:type="dxa"/>
          </w:tcPr>
          <w:p w14:paraId="13A6A5B6" w14:textId="77777777" w:rsidR="005362A2" w:rsidRPr="005362A2" w:rsidRDefault="005362A2" w:rsidP="005362A2">
            <w:pPr>
              <w:pStyle w:val="ECCTabletext"/>
            </w:pPr>
            <w:r w:rsidRPr="00336D52">
              <w:t>I</w:t>
            </w:r>
            <w:r w:rsidRPr="005362A2">
              <w:t xml:space="preserve">mproved procedures under AP </w:t>
            </w:r>
            <w:r w:rsidRPr="005362A2">
              <w:rPr>
                <w:rStyle w:val="ECCHLbold"/>
              </w:rPr>
              <w:t>30B</w:t>
            </w:r>
            <w:r w:rsidRPr="005362A2">
              <w:t xml:space="preserve"> for new ITU member States</w:t>
            </w:r>
          </w:p>
        </w:tc>
        <w:tc>
          <w:tcPr>
            <w:tcW w:w="5821" w:type="dxa"/>
          </w:tcPr>
          <w:p w14:paraId="0BCF0001" w14:textId="170EBD71" w:rsidR="00562A0C" w:rsidRPr="00562A0C" w:rsidRDefault="00562A0C" w:rsidP="00562A0C">
            <w:pPr>
              <w:pStyle w:val="ECCBulletsLv1"/>
            </w:pPr>
            <w:r>
              <w:t xml:space="preserve">CEPT supports </w:t>
            </w:r>
            <w:r w:rsidRPr="00562A0C">
              <w:t xml:space="preserve">the possibility to grant new ITU Member States the same conditions as those granted to administrations having no assignments in the Appendix </w:t>
            </w:r>
            <w:r w:rsidRPr="00562A0C">
              <w:rPr>
                <w:rStyle w:val="ECCHLbold"/>
              </w:rPr>
              <w:t>30B</w:t>
            </w:r>
            <w:r w:rsidRPr="00562A0C">
              <w:t xml:space="preserve"> List, or assignments listed under 6.1, as adopted in Resolution </w:t>
            </w:r>
            <w:r w:rsidRPr="00562A0C">
              <w:rPr>
                <w:rStyle w:val="ECCHLbold"/>
              </w:rPr>
              <w:t>170 (WRC-19)</w:t>
            </w:r>
            <w:r w:rsidRPr="00562A0C">
              <w:t>.</w:t>
            </w:r>
          </w:p>
          <w:p w14:paraId="7BCB5269" w14:textId="77777777" w:rsidR="005362A2" w:rsidRPr="005362A2" w:rsidRDefault="005362A2" w:rsidP="005362A2">
            <w:pPr>
              <w:pStyle w:val="ECCBulletsLv1"/>
            </w:pPr>
            <w:r w:rsidRPr="001679CB">
              <w:t>CEPT supports that a comprehensive understanding of the interference scenarios for new ITU Mem</w:t>
            </w:r>
            <w:r w:rsidRPr="005362A2">
              <w:t>ber States can be achieved through additional technical analysis.</w:t>
            </w:r>
          </w:p>
          <w:p w14:paraId="42256E12" w14:textId="5C63CA89" w:rsidR="005362A2" w:rsidRPr="005362A2" w:rsidRDefault="00B73720" w:rsidP="00B73720">
            <w:pPr>
              <w:pStyle w:val="ECCBulletsLv1"/>
            </w:pPr>
            <w:r w:rsidRPr="00B73720">
              <w:t>CEPT encourage new ITU Member States and the resulting affected administrations to actively undertake and cooperate in coordination discussions to resolve any interference cases in addition to consider RR changes.</w:t>
            </w:r>
          </w:p>
        </w:tc>
        <w:tc>
          <w:tcPr>
            <w:tcW w:w="841" w:type="dxa"/>
          </w:tcPr>
          <w:p w14:paraId="30FC7FFB" w14:textId="7B5DD6B6" w:rsidR="005362A2" w:rsidRPr="005362A2" w:rsidRDefault="002208C7" w:rsidP="005362A2">
            <w:pPr>
              <w:pStyle w:val="ECCTabletext"/>
            </w:pPr>
            <w:hyperlink w:anchor="_ISSUE_4" w:history="1">
              <w:r w:rsidR="002A7AF1">
                <w:rPr>
                  <w:rStyle w:val="Lienhypertexte"/>
                </w:rPr>
                <w:t>7</w:t>
              </w:r>
            </w:hyperlink>
          </w:p>
        </w:tc>
      </w:tr>
      <w:tr w:rsidR="005362A2" w:rsidRPr="00235592" w14:paraId="0DDDA73C" w14:textId="77777777" w:rsidTr="001A21B4">
        <w:tc>
          <w:tcPr>
            <w:tcW w:w="1106" w:type="dxa"/>
          </w:tcPr>
          <w:p w14:paraId="1AEA4B89" w14:textId="77777777" w:rsidR="005362A2" w:rsidRPr="005362A2" w:rsidRDefault="005362A2" w:rsidP="005362A2">
            <w:pPr>
              <w:pStyle w:val="ECCTabletext"/>
            </w:pPr>
            <w:r>
              <w:t>F</w:t>
            </w:r>
          </w:p>
        </w:tc>
        <w:tc>
          <w:tcPr>
            <w:tcW w:w="1725" w:type="dxa"/>
          </w:tcPr>
          <w:p w14:paraId="29608902" w14:textId="77777777" w:rsidR="005362A2" w:rsidRPr="005362A2" w:rsidRDefault="005362A2" w:rsidP="005362A2">
            <w:pPr>
              <w:pStyle w:val="ECCTabletext"/>
            </w:pPr>
            <w:r w:rsidRPr="00840AF4">
              <w:t>Excluding uplink service area in AP</w:t>
            </w:r>
            <w:r w:rsidRPr="005362A2">
              <w:t xml:space="preserve"> </w:t>
            </w:r>
            <w:r w:rsidRPr="005362A2">
              <w:rPr>
                <w:rStyle w:val="ECCHLbold"/>
              </w:rPr>
              <w:t>30A</w:t>
            </w:r>
            <w:r w:rsidRPr="005362A2">
              <w:t xml:space="preserve"> for R1&amp;3 and AP </w:t>
            </w:r>
            <w:r w:rsidRPr="005362A2">
              <w:rPr>
                <w:rStyle w:val="ECCHLbold"/>
              </w:rPr>
              <w:t>30B</w:t>
            </w:r>
          </w:p>
        </w:tc>
        <w:tc>
          <w:tcPr>
            <w:tcW w:w="5821" w:type="dxa"/>
          </w:tcPr>
          <w:p w14:paraId="6EC7036D" w14:textId="77777777" w:rsidR="003E0DBA" w:rsidRPr="003E0DBA" w:rsidRDefault="003E0DBA" w:rsidP="003E0DBA">
            <w:pPr>
              <w:pStyle w:val="ECCBulletsLv1"/>
            </w:pPr>
            <w:r w:rsidRPr="00B212D0">
              <w:t xml:space="preserve">CEPT supports exploring if bilateral coordination solutions or national licensing conditions can address </w:t>
            </w:r>
            <w:r w:rsidRPr="003E0DBA">
              <w:t>encountered problems on a case-by-case basis.</w:t>
            </w:r>
          </w:p>
          <w:p w14:paraId="72BBF3DF" w14:textId="51EC1944" w:rsidR="003E0DBA" w:rsidRPr="00B212D0" w:rsidRDefault="003E0DBA" w:rsidP="003E0DBA">
            <w:pPr>
              <w:pStyle w:val="ECCBulletsLv1"/>
            </w:pPr>
            <w:r w:rsidRPr="00B212D0">
              <w:t xml:space="preserve">CEPT supports developing specific measures, if needed, to avoid creating obstacles to </w:t>
            </w:r>
            <w:r w:rsidR="00890CCA">
              <w:t>establish</w:t>
            </w:r>
            <w:r w:rsidRPr="00B212D0">
              <w:t xml:space="preserve"> </w:t>
            </w:r>
            <w:r w:rsidR="00890CCA">
              <w:t>satellite networks</w:t>
            </w:r>
            <w:r w:rsidRPr="00B212D0">
              <w:t xml:space="preserve"> by other countries over their territories</w:t>
            </w:r>
            <w:r w:rsidRPr="003E0DBA">
              <w:t xml:space="preserve"> considering implementable regulatory and technical solutions that will not </w:t>
            </w:r>
            <w:r w:rsidR="0062532A">
              <w:t xml:space="preserve">unduly restrict operations of </w:t>
            </w:r>
            <w:r w:rsidR="00B3040D">
              <w:t xml:space="preserve">other </w:t>
            </w:r>
            <w:r w:rsidR="00B3040D" w:rsidRPr="003E0DBA">
              <w:t>satellite</w:t>
            </w:r>
            <w:r w:rsidRPr="003E0DBA">
              <w:t xml:space="preserve"> networks, </w:t>
            </w:r>
            <w:r w:rsidR="0014449E">
              <w:t>in particular</w:t>
            </w:r>
            <w:r w:rsidRPr="003E0DBA">
              <w:t xml:space="preserve"> satellite networks already in operation. </w:t>
            </w:r>
          </w:p>
          <w:p w14:paraId="2F87A40E" w14:textId="745ED9BB" w:rsidR="003E0DBA" w:rsidRPr="003E0DBA" w:rsidRDefault="003E0DBA" w:rsidP="003E0DBA">
            <w:pPr>
              <w:pStyle w:val="ECCBulletsLv1"/>
            </w:pPr>
            <w:r w:rsidRPr="00B212D0">
              <w:t>CEPT notes that</w:t>
            </w:r>
            <w:r w:rsidRPr="003E0DBA">
              <w:t>, as an example, aligning the coverage area with the service area is not always technically feasible.</w:t>
            </w:r>
          </w:p>
          <w:p w14:paraId="01AD7240" w14:textId="77777777" w:rsidR="003E0DBA" w:rsidRPr="003E0DBA" w:rsidRDefault="003E0DBA" w:rsidP="003E0DBA">
            <w:pPr>
              <w:pStyle w:val="ECCBulletsLv1"/>
            </w:pPr>
            <w:r w:rsidRPr="00B212D0">
              <w:t xml:space="preserve">CEPT supports </w:t>
            </w:r>
            <w:r w:rsidRPr="003E0DBA">
              <w:t xml:space="preserve">developing specific measures </w:t>
            </w:r>
            <w:proofErr w:type="gramStart"/>
            <w:r w:rsidRPr="003E0DBA">
              <w:t>taking into account</w:t>
            </w:r>
            <w:proofErr w:type="gramEnd"/>
            <w:r w:rsidRPr="003E0DBA">
              <w:t xml:space="preserve"> the required roll-off of the space station receive beam to be fully protected. </w:t>
            </w:r>
          </w:p>
          <w:p w14:paraId="2272F091" w14:textId="4651E44E" w:rsidR="005362A2" w:rsidRPr="005362A2" w:rsidRDefault="003E0DBA" w:rsidP="003E0DBA">
            <w:pPr>
              <w:pStyle w:val="ECCBulletsLv1"/>
            </w:pPr>
            <w:r w:rsidRPr="00B212D0">
              <w:t xml:space="preserve">CEPT encourages administrations involved in Resolution </w:t>
            </w:r>
            <w:r w:rsidRPr="003E0DBA">
              <w:rPr>
                <w:rStyle w:val="ECCHLbold"/>
              </w:rPr>
              <w:t>559 (WRC-19)</w:t>
            </w:r>
            <w:r w:rsidRPr="003E0DBA">
              <w:t xml:space="preserve"> </w:t>
            </w:r>
            <w:r w:rsidR="00B3040D" w:rsidRPr="003E0DBA">
              <w:t>coordination’s</w:t>
            </w:r>
            <w:r w:rsidRPr="003E0DBA">
              <w:t xml:space="preserve"> to make utmost efforts to communicate with requesting administrations and to timely reply in order to complete coordination.</w:t>
            </w:r>
          </w:p>
        </w:tc>
        <w:tc>
          <w:tcPr>
            <w:tcW w:w="841" w:type="dxa"/>
          </w:tcPr>
          <w:p w14:paraId="2E83B5AE" w14:textId="62B49BB0" w:rsidR="005362A2" w:rsidRPr="005362A2" w:rsidRDefault="002208C7" w:rsidP="005362A2">
            <w:pPr>
              <w:pStyle w:val="ECCTabletext"/>
            </w:pPr>
            <w:hyperlink w:anchor="_ISSUE_7" w:history="1">
              <w:r w:rsidR="002A7AF1">
                <w:rPr>
                  <w:rStyle w:val="Lienhypertexte"/>
                </w:rPr>
                <w:t>8</w:t>
              </w:r>
            </w:hyperlink>
          </w:p>
        </w:tc>
      </w:tr>
      <w:tr w:rsidR="005362A2" w:rsidRPr="00235592" w14:paraId="2C444976" w14:textId="77777777" w:rsidTr="001A21B4">
        <w:trPr>
          <w:trHeight w:val="420"/>
        </w:trPr>
        <w:tc>
          <w:tcPr>
            <w:tcW w:w="1106" w:type="dxa"/>
          </w:tcPr>
          <w:p w14:paraId="0B65662B" w14:textId="3C84018E" w:rsidR="005362A2" w:rsidRPr="005362A2" w:rsidRDefault="005362A2" w:rsidP="005362A2">
            <w:pPr>
              <w:pStyle w:val="ECCTabletext"/>
            </w:pPr>
            <w:r w:rsidRPr="005362A2">
              <w:lastRenderedPageBreak/>
              <w:t>G</w:t>
            </w:r>
          </w:p>
        </w:tc>
        <w:tc>
          <w:tcPr>
            <w:tcW w:w="1725" w:type="dxa"/>
          </w:tcPr>
          <w:p w14:paraId="4C0D2A08" w14:textId="77777777" w:rsidR="005362A2" w:rsidRPr="005362A2" w:rsidRDefault="005362A2" w:rsidP="005362A2">
            <w:pPr>
              <w:pStyle w:val="ECCTabletext"/>
            </w:pPr>
            <w:r w:rsidRPr="00475257">
              <w:rPr>
                <w:rStyle w:val="ECCParagraph"/>
              </w:rPr>
              <w:t xml:space="preserve">Resolution </w:t>
            </w:r>
            <w:r w:rsidRPr="005362A2">
              <w:rPr>
                <w:rStyle w:val="ECCHLbold"/>
              </w:rPr>
              <w:t>770 (WRC-19)</w:t>
            </w:r>
            <w:r w:rsidRPr="005362A2">
              <w:t xml:space="preserve"> GSO protection from single entry non-GSO in Q/V bands</w:t>
            </w:r>
          </w:p>
        </w:tc>
        <w:tc>
          <w:tcPr>
            <w:tcW w:w="5821" w:type="dxa"/>
          </w:tcPr>
          <w:p w14:paraId="484A13BB" w14:textId="075643B7" w:rsidR="005362A2" w:rsidRPr="005362A2" w:rsidRDefault="00842A86" w:rsidP="00636B9F">
            <w:pPr>
              <w:pStyle w:val="ECCBulletsLv1"/>
            </w:pPr>
            <w:r w:rsidRPr="00842A86">
              <w:rPr>
                <w:rStyle w:val="ECCParagraph"/>
              </w:rPr>
              <w:t xml:space="preserve">CEPT supports Method 3 of the draft CPM text in ITU-R WP 4A in which Annex 2 of Resolution </w:t>
            </w:r>
            <w:r w:rsidRPr="00E4014A">
              <w:rPr>
                <w:rStyle w:val="ECCHLbold"/>
              </w:rPr>
              <w:t>770 (WRC-19)</w:t>
            </w:r>
            <w:r w:rsidRPr="00842A86">
              <w:rPr>
                <w:rStyle w:val="ECCParagraph"/>
              </w:rPr>
              <w:t xml:space="preserve"> is included in </w:t>
            </w:r>
            <w:proofErr w:type="gramStart"/>
            <w:r w:rsidRPr="00842A86">
              <w:rPr>
                <w:rStyle w:val="ECCParagraph"/>
              </w:rPr>
              <w:t>a</w:t>
            </w:r>
            <w:proofErr w:type="gramEnd"/>
            <w:r w:rsidRPr="00842A86">
              <w:rPr>
                <w:rStyle w:val="ECCParagraph"/>
              </w:rPr>
              <w:t xml:space="preserve"> ITU-R Recommendation.</w:t>
            </w:r>
          </w:p>
        </w:tc>
        <w:tc>
          <w:tcPr>
            <w:tcW w:w="841" w:type="dxa"/>
          </w:tcPr>
          <w:p w14:paraId="5CE3DA8D" w14:textId="137079A8" w:rsidR="005362A2" w:rsidRPr="005362A2" w:rsidRDefault="002208C7" w:rsidP="005362A2">
            <w:pPr>
              <w:pStyle w:val="ECCTabletext"/>
            </w:pPr>
            <w:hyperlink w:anchor="_ISsue_8" w:history="1">
              <w:r w:rsidR="002A7AF1">
                <w:rPr>
                  <w:rStyle w:val="Lienhypertexte"/>
                </w:rPr>
                <w:t>9</w:t>
              </w:r>
            </w:hyperlink>
          </w:p>
        </w:tc>
      </w:tr>
      <w:tr w:rsidR="00685485" w:rsidRPr="00235592" w14:paraId="7DD6382D" w14:textId="77777777" w:rsidTr="001A21B4">
        <w:trPr>
          <w:trHeight w:val="420"/>
        </w:trPr>
        <w:tc>
          <w:tcPr>
            <w:tcW w:w="1106" w:type="dxa"/>
          </w:tcPr>
          <w:p w14:paraId="73FB8CC0" w14:textId="1E360758" w:rsidR="00685485" w:rsidRPr="005362A2" w:rsidRDefault="00685485" w:rsidP="005362A2">
            <w:pPr>
              <w:pStyle w:val="ECCTabletext"/>
            </w:pPr>
            <w:r>
              <w:t>H</w:t>
            </w:r>
          </w:p>
        </w:tc>
        <w:tc>
          <w:tcPr>
            <w:tcW w:w="1725" w:type="dxa"/>
          </w:tcPr>
          <w:p w14:paraId="1453A541" w14:textId="031D3437" w:rsidR="00685485" w:rsidRPr="00475257" w:rsidRDefault="00CC7881" w:rsidP="005362A2">
            <w:pPr>
              <w:pStyle w:val="ECCTabletext"/>
              <w:rPr>
                <w:rStyle w:val="ECCParagraph"/>
              </w:rPr>
            </w:pPr>
            <w:r w:rsidRPr="00CC7881">
              <w:t>Enhanced protection of A</w:t>
            </w:r>
            <w:r w:rsidR="005B0E3B">
              <w:t xml:space="preserve">P </w:t>
            </w:r>
            <w:r w:rsidRPr="00E4014A">
              <w:rPr>
                <w:rStyle w:val="ECCHLbold"/>
              </w:rPr>
              <w:t>30/30A</w:t>
            </w:r>
            <w:r w:rsidRPr="00CC7881">
              <w:t xml:space="preserve"> in </w:t>
            </w:r>
            <w:r w:rsidR="00B3040D" w:rsidRPr="00CC7881">
              <w:t>regions</w:t>
            </w:r>
            <w:r w:rsidRPr="00CC7881">
              <w:t xml:space="preserve"> 1 and 3 and RR A</w:t>
            </w:r>
            <w:r w:rsidR="005B0E3B">
              <w:t xml:space="preserve">P </w:t>
            </w:r>
            <w:r w:rsidRPr="00E4014A">
              <w:rPr>
                <w:rStyle w:val="ECCHLbold"/>
              </w:rPr>
              <w:t>30B</w:t>
            </w:r>
          </w:p>
        </w:tc>
        <w:tc>
          <w:tcPr>
            <w:tcW w:w="5821" w:type="dxa"/>
          </w:tcPr>
          <w:p w14:paraId="787B9EA4" w14:textId="5C64F530" w:rsidR="00A71A29" w:rsidRPr="00A71A29" w:rsidRDefault="00A71A29" w:rsidP="00C157D9">
            <w:pPr>
              <w:pStyle w:val="ECCBulletsLv1"/>
            </w:pPr>
            <w:r w:rsidRPr="00EE532F">
              <w:t xml:space="preserve">CEPT supports to enhance the protection of Appendices </w:t>
            </w:r>
            <w:r w:rsidRPr="00A71A29">
              <w:rPr>
                <w:rStyle w:val="ECCHLbold"/>
              </w:rPr>
              <w:t>30</w:t>
            </w:r>
            <w:r w:rsidR="0030425C">
              <w:rPr>
                <w:rStyle w:val="ECCHLbold"/>
              </w:rPr>
              <w:t xml:space="preserve"> </w:t>
            </w:r>
            <w:r w:rsidR="0030425C" w:rsidRPr="00E4014A">
              <w:rPr>
                <w:rStyle w:val="ECCHLbold"/>
                <w:b w:val="0"/>
                <w:bCs w:val="0"/>
              </w:rPr>
              <w:t>and</w:t>
            </w:r>
            <w:r w:rsidR="0030425C">
              <w:t xml:space="preserve"> </w:t>
            </w:r>
            <w:r w:rsidRPr="00A71A29">
              <w:rPr>
                <w:rStyle w:val="ECCHLbold"/>
              </w:rPr>
              <w:t>30A</w:t>
            </w:r>
            <w:r w:rsidRPr="00A71A29">
              <w:t xml:space="preserve"> in </w:t>
            </w:r>
            <w:r w:rsidR="00B3040D" w:rsidRPr="00A71A29">
              <w:t>regions</w:t>
            </w:r>
            <w:r w:rsidRPr="00A71A29">
              <w:t xml:space="preserve"> 1 &amp; 3 and Appendix </w:t>
            </w:r>
            <w:r w:rsidRPr="00A71A29">
              <w:rPr>
                <w:rStyle w:val="ECCHLbold"/>
              </w:rPr>
              <w:t>30B</w:t>
            </w:r>
            <w:r w:rsidRPr="00A71A29">
              <w:t xml:space="preserve"> for networks in the Plan and the List.</w:t>
            </w:r>
          </w:p>
          <w:p w14:paraId="39820193" w14:textId="185A6F7F" w:rsidR="00A71A29" w:rsidRPr="00A71A29" w:rsidRDefault="00A71A29" w:rsidP="00A71A29">
            <w:pPr>
              <w:pStyle w:val="ECCBulletsLv1"/>
              <w:rPr>
                <w:rStyle w:val="ECCParagraph"/>
              </w:rPr>
            </w:pPr>
            <w:r>
              <w:t>CE</w:t>
            </w:r>
            <w:r w:rsidRPr="00A71A29">
              <w:t xml:space="preserve">PT </w:t>
            </w:r>
            <w:r w:rsidRPr="00A71A29">
              <w:rPr>
                <w:rStyle w:val="ECCParagraph"/>
              </w:rPr>
              <w:t xml:space="preserve">supports to replace the implicit agreement in case of no comments in due time of affected Regions 1 and 3 BSS Plan assignments or Appendix </w:t>
            </w:r>
            <w:r w:rsidRPr="00E4014A">
              <w:rPr>
                <w:rStyle w:val="ECCHLbold"/>
              </w:rPr>
              <w:t>30B</w:t>
            </w:r>
            <w:r w:rsidRPr="00A71A29">
              <w:rPr>
                <w:rStyle w:val="ECCParagraph"/>
              </w:rPr>
              <w:t xml:space="preserve"> allotments </w:t>
            </w:r>
            <w:r w:rsidR="00922F86">
              <w:rPr>
                <w:rStyle w:val="ECCParagraph"/>
              </w:rPr>
              <w:t>on</w:t>
            </w:r>
            <w:r w:rsidRPr="00A71A29">
              <w:rPr>
                <w:rStyle w:val="ECCParagraph"/>
              </w:rPr>
              <w:t xml:space="preserve"> an additional use/system, </w:t>
            </w:r>
            <w:r w:rsidR="00AC45BE">
              <w:rPr>
                <w:rStyle w:val="ECCParagraph"/>
              </w:rPr>
              <w:t>with</w:t>
            </w:r>
            <w:r w:rsidRPr="00A71A29">
              <w:rPr>
                <w:rStyle w:val="ECCParagraph"/>
              </w:rPr>
              <w:t xml:space="preserve"> a new regulatory solution allowing the administration of the additional use/system to operate until the national assignment/allotment</w:t>
            </w:r>
            <w:r w:rsidR="00F463F7">
              <w:rPr>
                <w:rStyle w:val="ECCParagraph"/>
              </w:rPr>
              <w:t xml:space="preserve"> is brought into use</w:t>
            </w:r>
            <w:r w:rsidRPr="00A71A29">
              <w:rPr>
                <w:rStyle w:val="ECCParagraph"/>
              </w:rPr>
              <w:t>.</w:t>
            </w:r>
          </w:p>
          <w:p w14:paraId="4B8331F4" w14:textId="4971B99D" w:rsidR="00A71A29" w:rsidRPr="00A71A29" w:rsidRDefault="007A3429" w:rsidP="00A71A29">
            <w:pPr>
              <w:pStyle w:val="ECCBulletsLv1"/>
            </w:pPr>
            <w:r w:rsidRPr="00A71A29">
              <w:t xml:space="preserve"> CEPT supports to not consider mutual interference </w:t>
            </w:r>
            <w:r w:rsidR="00AB0A18" w:rsidRPr="00A71A29">
              <w:t>between</w:t>
            </w:r>
            <w:r w:rsidR="00AB0A18" w:rsidRPr="00A71A29">
              <w:rPr>
                <w:rStyle w:val="ECCParagraph"/>
              </w:rPr>
              <w:t xml:space="preserve"> </w:t>
            </w:r>
            <w:r w:rsidR="00B3040D" w:rsidRPr="00A71A29">
              <w:rPr>
                <w:rStyle w:val="ECCParagraph"/>
              </w:rPr>
              <w:t>regions</w:t>
            </w:r>
            <w:r w:rsidR="00A71A29" w:rsidRPr="00A71A29">
              <w:rPr>
                <w:rStyle w:val="ECCParagraph"/>
              </w:rPr>
              <w:t xml:space="preserve"> 1 and 3 BSS Plan assignments or Appendix </w:t>
            </w:r>
            <w:r w:rsidR="00A71A29" w:rsidRPr="00E4014A">
              <w:rPr>
                <w:rStyle w:val="ECCHLbold"/>
              </w:rPr>
              <w:t>30B</w:t>
            </w:r>
            <w:r w:rsidR="00A71A29" w:rsidRPr="00A71A29">
              <w:rPr>
                <w:rStyle w:val="ECCParagraph"/>
              </w:rPr>
              <w:t xml:space="preserve"> allotments </w:t>
            </w:r>
            <w:r>
              <w:rPr>
                <w:rStyle w:val="ECCParagraph"/>
              </w:rPr>
              <w:t xml:space="preserve">and </w:t>
            </w:r>
            <w:r w:rsidRPr="00A71A29">
              <w:rPr>
                <w:rStyle w:val="ECCParagraph"/>
              </w:rPr>
              <w:t>additional use/system</w:t>
            </w:r>
            <w:r>
              <w:rPr>
                <w:rStyle w:val="ECCParagraph"/>
              </w:rPr>
              <w:t xml:space="preserve"> networks </w:t>
            </w:r>
            <w:r w:rsidR="00B01C33">
              <w:rPr>
                <w:rStyle w:val="ECCParagraph"/>
              </w:rPr>
              <w:t xml:space="preserve">using </w:t>
            </w:r>
            <w:r w:rsidR="00B01C33" w:rsidRPr="00A71A29">
              <w:t>this new regulatory solution</w:t>
            </w:r>
            <w:r w:rsidR="00690535">
              <w:t>,</w:t>
            </w:r>
            <w:r w:rsidR="00B01C33" w:rsidRPr="00B01C33">
              <w:rPr>
                <w:rStyle w:val="ECCParagraph"/>
              </w:rPr>
              <w:t xml:space="preserve"> </w:t>
            </w:r>
            <w:r>
              <w:rPr>
                <w:rStyle w:val="ECCParagraph"/>
              </w:rPr>
              <w:t>since</w:t>
            </w:r>
            <w:r w:rsidR="008E636A">
              <w:rPr>
                <w:rStyle w:val="ECCParagraph"/>
              </w:rPr>
              <w:t xml:space="preserve"> they </w:t>
            </w:r>
            <w:r w:rsidR="00A71A29" w:rsidRPr="00A71A29">
              <w:rPr>
                <w:rStyle w:val="ECCParagraph"/>
              </w:rPr>
              <w:t xml:space="preserve">will not operate the same frequency range over the same area </w:t>
            </w:r>
            <w:r w:rsidR="0014592E" w:rsidRPr="00A71A29">
              <w:rPr>
                <w:rStyle w:val="ECCParagraph"/>
              </w:rPr>
              <w:t>simultaneously</w:t>
            </w:r>
            <w:r w:rsidR="00557BE1">
              <w:rPr>
                <w:rStyle w:val="ECCParagraph"/>
              </w:rPr>
              <w:t>.</w:t>
            </w:r>
            <w:r w:rsidR="0014592E" w:rsidRPr="00A71A29">
              <w:rPr>
                <w:rStyle w:val="ECCParagraph"/>
              </w:rPr>
              <w:t xml:space="preserve"> </w:t>
            </w:r>
          </w:p>
          <w:p w14:paraId="67F759B2" w14:textId="7EC048FF" w:rsidR="00685485" w:rsidRPr="00A4715F" w:rsidRDefault="00A71A29" w:rsidP="00B01C33">
            <w:pPr>
              <w:pStyle w:val="ECCBulletsLv1"/>
              <w:rPr>
                <w:rStyle w:val="ECCParagraph"/>
              </w:rPr>
            </w:pPr>
            <w:r>
              <w:t xml:space="preserve">CEPT does not </w:t>
            </w:r>
            <w:r w:rsidRPr="00A71A29">
              <w:t xml:space="preserve">support to reduce the EPM degradation tolerance in Appendices </w:t>
            </w:r>
            <w:r w:rsidRPr="00A71A29">
              <w:rPr>
                <w:rStyle w:val="ECCHLbold"/>
              </w:rPr>
              <w:t>30</w:t>
            </w:r>
            <w:r w:rsidR="000925BC">
              <w:rPr>
                <w:rStyle w:val="ECCHLbold"/>
              </w:rPr>
              <w:t xml:space="preserve"> </w:t>
            </w:r>
            <w:r w:rsidR="000925BC" w:rsidRPr="000925BC">
              <w:rPr>
                <w:rStyle w:val="ECCHLbold"/>
                <w:b w:val="0"/>
                <w:bCs w:val="0"/>
              </w:rPr>
              <w:t>and</w:t>
            </w:r>
            <w:r w:rsidR="000925BC">
              <w:t xml:space="preserve"> </w:t>
            </w:r>
            <w:r w:rsidRPr="00A71A29">
              <w:rPr>
                <w:rStyle w:val="ECCHLbold"/>
              </w:rPr>
              <w:t xml:space="preserve">30A </w:t>
            </w:r>
            <w:r w:rsidRPr="00E4014A">
              <w:rPr>
                <w:rStyle w:val="ECCParagraph"/>
              </w:rPr>
              <w:t>without any technical studies supporting the reasoning behind such a modification.</w:t>
            </w:r>
          </w:p>
        </w:tc>
        <w:tc>
          <w:tcPr>
            <w:tcW w:w="841" w:type="dxa"/>
          </w:tcPr>
          <w:p w14:paraId="1738EC84" w14:textId="4A0720F2" w:rsidR="00685485" w:rsidRDefault="002A7AF1" w:rsidP="005362A2">
            <w:pPr>
              <w:pStyle w:val="ECCTabletext"/>
            </w:pPr>
            <w:r>
              <w:t>10</w:t>
            </w:r>
          </w:p>
        </w:tc>
      </w:tr>
      <w:tr w:rsidR="00552D04" w:rsidRPr="00235592" w14:paraId="77DEA5F1" w14:textId="77777777" w:rsidTr="001A21B4">
        <w:trPr>
          <w:trHeight w:val="420"/>
        </w:trPr>
        <w:tc>
          <w:tcPr>
            <w:tcW w:w="1106" w:type="dxa"/>
          </w:tcPr>
          <w:p w14:paraId="721B27F6" w14:textId="339111D4" w:rsidR="00552D04" w:rsidRDefault="00552D04" w:rsidP="005362A2">
            <w:pPr>
              <w:pStyle w:val="ECCTabletext"/>
            </w:pPr>
            <w:r>
              <w:t>I</w:t>
            </w:r>
          </w:p>
        </w:tc>
        <w:tc>
          <w:tcPr>
            <w:tcW w:w="1725" w:type="dxa"/>
          </w:tcPr>
          <w:p w14:paraId="16D8F2FE" w14:textId="14F7E9A3" w:rsidR="00552D04" w:rsidRDefault="00F747A3" w:rsidP="005362A2">
            <w:pPr>
              <w:pStyle w:val="ECCTabletext"/>
            </w:pPr>
            <w:r w:rsidRPr="005704DF">
              <w:t>Special agreements under A</w:t>
            </w:r>
            <w:r w:rsidR="00867458">
              <w:t>P</w:t>
            </w:r>
            <w:r w:rsidRPr="005704DF">
              <w:t xml:space="preserve"> </w:t>
            </w:r>
            <w:r w:rsidRPr="00D20971">
              <w:rPr>
                <w:rStyle w:val="ECCHLbold"/>
              </w:rPr>
              <w:t>30B</w:t>
            </w:r>
          </w:p>
        </w:tc>
        <w:tc>
          <w:tcPr>
            <w:tcW w:w="5821" w:type="dxa"/>
          </w:tcPr>
          <w:p w14:paraId="2C41EEB6" w14:textId="31BD6A74" w:rsidR="00A71A29" w:rsidRPr="00A71A29" w:rsidRDefault="00A71A29" w:rsidP="00A71A29">
            <w:pPr>
              <w:pStyle w:val="ECCBulletsLv1"/>
            </w:pPr>
            <w:r w:rsidRPr="00A71A29">
              <w:t>CEPT supports the development of a regulatory solution based on a specific agreement, on a voluntary basis, allowing an administration suffering from low reference protection margin for its national allotment in A</w:t>
            </w:r>
            <w:r w:rsidR="00935739">
              <w:t xml:space="preserve">ppendix </w:t>
            </w:r>
            <w:r w:rsidRPr="00D20971">
              <w:rPr>
                <w:rStyle w:val="ECCHLbold"/>
              </w:rPr>
              <w:t>30B</w:t>
            </w:r>
            <w:r w:rsidRPr="00A71A29">
              <w:t xml:space="preserve"> due to agreements under § 6.15 to retrieve adequate reference protection margin.</w:t>
            </w:r>
          </w:p>
          <w:p w14:paraId="786F9222" w14:textId="08055E77" w:rsidR="00A71A29" w:rsidRPr="00A71A29" w:rsidRDefault="00A71A29" w:rsidP="00A71A29">
            <w:pPr>
              <w:pStyle w:val="ECCBulletsLv1"/>
            </w:pPr>
            <w:r>
              <w:t xml:space="preserve">CEPT supports </w:t>
            </w:r>
            <w:r w:rsidRPr="00A71A29">
              <w:t>the possibility to sign a specific agreement between an additional system and a national allotment in A</w:t>
            </w:r>
            <w:r w:rsidR="00D10183">
              <w:t xml:space="preserve">ppendix </w:t>
            </w:r>
            <w:r w:rsidRPr="00D20971">
              <w:rPr>
                <w:rStyle w:val="ECCHLbold"/>
              </w:rPr>
              <w:t>30B</w:t>
            </w:r>
            <w:r w:rsidRPr="00A71A29">
              <w:t xml:space="preserve"> permitting the additional system to cover the territory of the national allotment in A</w:t>
            </w:r>
            <w:r w:rsidR="00D10183">
              <w:t xml:space="preserve">ppendix </w:t>
            </w:r>
            <w:r w:rsidRPr="00D20971">
              <w:rPr>
                <w:rStyle w:val="ECCHLbold"/>
              </w:rPr>
              <w:t xml:space="preserve">30B </w:t>
            </w:r>
            <w:r w:rsidRPr="00A71A29">
              <w:t xml:space="preserve">until the </w:t>
            </w:r>
            <w:r w:rsidR="00035ACE">
              <w:t xml:space="preserve">bringing into use </w:t>
            </w:r>
            <w:r w:rsidRPr="00A71A29">
              <w:t>of this national allotment in A</w:t>
            </w:r>
            <w:r w:rsidR="00335DF3">
              <w:t xml:space="preserve">ppendix </w:t>
            </w:r>
            <w:r w:rsidRPr="00D20971">
              <w:rPr>
                <w:rStyle w:val="ECCHLbold"/>
              </w:rPr>
              <w:t>30B</w:t>
            </w:r>
            <w:r w:rsidRPr="00A71A29">
              <w:t>.</w:t>
            </w:r>
          </w:p>
          <w:p w14:paraId="6B461045" w14:textId="77777777" w:rsidR="00A71A29" w:rsidRPr="00A71A29" w:rsidRDefault="00A71A29" w:rsidP="00A71A29">
            <w:pPr>
              <w:pStyle w:val="ECCBulletsLv1"/>
            </w:pPr>
            <w:r>
              <w:t xml:space="preserve">CEPT supports </w:t>
            </w:r>
            <w:r w:rsidRPr="00A71A29">
              <w:t>the adaptation of the additional system operations to not create harmful interference and to fully protect the operations of the national allotment with which the specific agreement was signed.</w:t>
            </w:r>
          </w:p>
          <w:p w14:paraId="1BEEC009" w14:textId="4ABC35E8" w:rsidR="00552D04" w:rsidRPr="00A4715F" w:rsidRDefault="00A71A29" w:rsidP="00A71A29">
            <w:pPr>
              <w:pStyle w:val="ECCBulletsLv1"/>
              <w:rPr>
                <w:rStyle w:val="ECCParagraph"/>
              </w:rPr>
            </w:pPr>
            <w:r w:rsidRPr="002C7F72">
              <w:t xml:space="preserve">CEPT encourages administrations for which § 6.15 </w:t>
            </w:r>
            <w:r w:rsidRPr="00A71A29">
              <w:t>of A</w:t>
            </w:r>
            <w:r w:rsidR="00D10183">
              <w:t xml:space="preserve">ppendix </w:t>
            </w:r>
            <w:r w:rsidRPr="00D20971">
              <w:rPr>
                <w:rStyle w:val="ECCHLbold"/>
              </w:rPr>
              <w:t>30B</w:t>
            </w:r>
            <w:r w:rsidRPr="00A71A29">
              <w:t xml:space="preserve"> has been applied with respect to a national allotment, to cooperate and consider signing such a specific agreement.</w:t>
            </w:r>
          </w:p>
        </w:tc>
        <w:tc>
          <w:tcPr>
            <w:tcW w:w="841" w:type="dxa"/>
          </w:tcPr>
          <w:p w14:paraId="3149D0DE" w14:textId="090BA0D7" w:rsidR="00552D04" w:rsidRDefault="002A7AF1" w:rsidP="005362A2">
            <w:pPr>
              <w:pStyle w:val="ECCTabletext"/>
            </w:pPr>
            <w:r>
              <w:t>11</w:t>
            </w:r>
          </w:p>
        </w:tc>
      </w:tr>
      <w:tr w:rsidR="00552D04" w:rsidRPr="00235592" w14:paraId="6A40309B" w14:textId="77777777" w:rsidTr="001A21B4">
        <w:trPr>
          <w:trHeight w:val="420"/>
        </w:trPr>
        <w:tc>
          <w:tcPr>
            <w:tcW w:w="1106" w:type="dxa"/>
          </w:tcPr>
          <w:p w14:paraId="420B10D8" w14:textId="3B95A39E" w:rsidR="00552D04" w:rsidRDefault="00552D04" w:rsidP="005362A2">
            <w:pPr>
              <w:pStyle w:val="ECCTabletext"/>
            </w:pPr>
            <w:r>
              <w:t>J</w:t>
            </w:r>
          </w:p>
        </w:tc>
        <w:tc>
          <w:tcPr>
            <w:tcW w:w="1725" w:type="dxa"/>
          </w:tcPr>
          <w:p w14:paraId="3D920F80" w14:textId="7E756AD3" w:rsidR="00552D04" w:rsidRDefault="00EC4346" w:rsidP="005362A2">
            <w:pPr>
              <w:pStyle w:val="ECCTabletext"/>
            </w:pPr>
            <w:r>
              <w:t xml:space="preserve">MODs to Res </w:t>
            </w:r>
            <w:r w:rsidRPr="00D20971">
              <w:rPr>
                <w:rStyle w:val="ECCHLbold"/>
              </w:rPr>
              <w:t>76 (Rev. WRC-15)</w:t>
            </w:r>
          </w:p>
        </w:tc>
        <w:tc>
          <w:tcPr>
            <w:tcW w:w="5821" w:type="dxa"/>
          </w:tcPr>
          <w:p w14:paraId="0EB30C5C" w14:textId="76FCEEAE" w:rsidR="00751364" w:rsidRPr="00751364" w:rsidRDefault="00751364" w:rsidP="00751364">
            <w:pPr>
              <w:pStyle w:val="ECCBulletsLv1"/>
            </w:pPr>
            <w:r w:rsidRPr="00751364">
              <w:t xml:space="preserve">CEPT supports the modification of Resolution </w:t>
            </w:r>
            <w:r w:rsidRPr="00D20971">
              <w:rPr>
                <w:rStyle w:val="ECCHLbold"/>
              </w:rPr>
              <w:t>76 (Rev.WRC-15)</w:t>
            </w:r>
            <w:r w:rsidRPr="00751364">
              <w:t xml:space="preserve"> to introduce the concept of “consultation process/meetings” and to clarify </w:t>
            </w:r>
            <w:r w:rsidR="00FE65B4">
              <w:t xml:space="preserve">the </w:t>
            </w:r>
            <w:r w:rsidRPr="00751364">
              <w:t xml:space="preserve">non-GSO systems </w:t>
            </w:r>
            <w:r w:rsidR="00FE65B4">
              <w:t xml:space="preserve">which are </w:t>
            </w:r>
            <w:r w:rsidRPr="00751364">
              <w:t xml:space="preserve">eligible </w:t>
            </w:r>
            <w:r w:rsidR="00FE65B4">
              <w:t>to participate</w:t>
            </w:r>
            <w:r w:rsidR="003F68DE">
              <w:t xml:space="preserve"> in</w:t>
            </w:r>
            <w:r w:rsidRPr="00751364">
              <w:t xml:space="preserve"> the consultation meetings. </w:t>
            </w:r>
          </w:p>
          <w:p w14:paraId="276983F5" w14:textId="0A1B98B0" w:rsidR="00552D04" w:rsidRPr="00A4715F" w:rsidRDefault="00751364" w:rsidP="00751364">
            <w:pPr>
              <w:pStyle w:val="ECCBulletsLv1"/>
              <w:rPr>
                <w:rStyle w:val="ECCParagraph"/>
              </w:rPr>
            </w:pPr>
            <w:r>
              <w:t>CEPT supports that the t</w:t>
            </w:r>
            <w:r w:rsidRPr="00751364">
              <w:t xml:space="preserve">echnical work, such as methodologies to be used to evaluate aggregate EPFD limit compliance, as well as the process and procedures for the </w:t>
            </w:r>
            <w:r w:rsidRPr="00751364">
              <w:lastRenderedPageBreak/>
              <w:t xml:space="preserve">consultation meeting, should be addressed in separate relevant documents such as in a new ITU-R Recommendation, in line with </w:t>
            </w:r>
            <w:r w:rsidRPr="00D20971">
              <w:rPr>
                <w:rStyle w:val="Accentuation"/>
              </w:rPr>
              <w:t>invites</w:t>
            </w:r>
            <w:r w:rsidRPr="00751364">
              <w:t xml:space="preserve"> 1, 2 and 3 of Resolution </w:t>
            </w:r>
            <w:r w:rsidRPr="00D20971">
              <w:rPr>
                <w:rStyle w:val="ECCHLbold"/>
              </w:rPr>
              <w:t>76 (Rev. WRC-15)</w:t>
            </w:r>
            <w:r w:rsidRPr="00751364">
              <w:t>.</w:t>
            </w:r>
          </w:p>
        </w:tc>
        <w:tc>
          <w:tcPr>
            <w:tcW w:w="841" w:type="dxa"/>
          </w:tcPr>
          <w:p w14:paraId="15F81B68" w14:textId="34DC21B3" w:rsidR="00552D04" w:rsidRDefault="002A7AF1" w:rsidP="005362A2">
            <w:pPr>
              <w:pStyle w:val="ECCTabletext"/>
            </w:pPr>
            <w:r>
              <w:lastRenderedPageBreak/>
              <w:t>12</w:t>
            </w:r>
          </w:p>
        </w:tc>
      </w:tr>
      <w:tr w:rsidR="00552D04" w:rsidRPr="00235592" w14:paraId="23276B8F" w14:textId="77777777" w:rsidTr="001A21B4">
        <w:trPr>
          <w:trHeight w:val="420"/>
        </w:trPr>
        <w:tc>
          <w:tcPr>
            <w:tcW w:w="1106" w:type="dxa"/>
          </w:tcPr>
          <w:p w14:paraId="01B362C9" w14:textId="3A5617BA" w:rsidR="00552D04" w:rsidRDefault="00552D04" w:rsidP="005362A2">
            <w:pPr>
              <w:pStyle w:val="ECCTabletext"/>
            </w:pPr>
            <w:r>
              <w:t>K</w:t>
            </w:r>
          </w:p>
        </w:tc>
        <w:tc>
          <w:tcPr>
            <w:tcW w:w="1725" w:type="dxa"/>
          </w:tcPr>
          <w:p w14:paraId="59E1611B" w14:textId="12A21DE3" w:rsidR="00552D04" w:rsidRDefault="00301C32" w:rsidP="005362A2">
            <w:pPr>
              <w:pStyle w:val="ECCTabletext"/>
            </w:pPr>
            <w:r>
              <w:t xml:space="preserve">MODs to Res. </w:t>
            </w:r>
            <w:r w:rsidRPr="00D20971">
              <w:rPr>
                <w:rStyle w:val="ECCHLbold"/>
              </w:rPr>
              <w:t>553 (Rev. WRC-15)</w:t>
            </w:r>
          </w:p>
        </w:tc>
        <w:tc>
          <w:tcPr>
            <w:tcW w:w="5821" w:type="dxa"/>
          </w:tcPr>
          <w:p w14:paraId="6930D9C0" w14:textId="2DC79357" w:rsidR="00600372" w:rsidRPr="00600372" w:rsidRDefault="00600372" w:rsidP="00600372">
            <w:pPr>
              <w:pStyle w:val="ECCBulletsLv1"/>
            </w:pPr>
            <w:r w:rsidRPr="00600372">
              <w:t xml:space="preserve">CEPT supports the possibility to apply the special procedure of Resolution </w:t>
            </w:r>
            <w:r w:rsidRPr="00600372">
              <w:rPr>
                <w:rStyle w:val="ECCHLbold"/>
              </w:rPr>
              <w:t>553 (</w:t>
            </w:r>
            <w:r w:rsidRPr="00D20971">
              <w:rPr>
                <w:rStyle w:val="ECCHLbold"/>
              </w:rPr>
              <w:t>Rev. WRC-15)</w:t>
            </w:r>
            <w:r w:rsidRPr="00600372">
              <w:t xml:space="preserve"> again if the requesting administration fails to bring into use </w:t>
            </w:r>
            <w:r w:rsidR="00AC08EE">
              <w:t xml:space="preserve">a </w:t>
            </w:r>
            <w:r w:rsidRPr="00600372">
              <w:t>network</w:t>
            </w:r>
            <w:r w:rsidR="00AC08EE">
              <w:t xml:space="preserve"> even if </w:t>
            </w:r>
            <w:r w:rsidRPr="00600372">
              <w:t xml:space="preserve">the special procedure of Resolution </w:t>
            </w:r>
            <w:r w:rsidRPr="00D20971">
              <w:rPr>
                <w:rStyle w:val="ECCHLbold"/>
              </w:rPr>
              <w:t>553 (Rev. WRC-15)</w:t>
            </w:r>
            <w:r w:rsidRPr="00600372">
              <w:rPr>
                <w:rStyle w:val="ECCParagraph"/>
              </w:rPr>
              <w:t xml:space="preserve"> was previously requested.</w:t>
            </w:r>
          </w:p>
          <w:p w14:paraId="36572978" w14:textId="5BEE7102" w:rsidR="00552D04" w:rsidRPr="00A4715F" w:rsidRDefault="00600372" w:rsidP="00600372">
            <w:pPr>
              <w:pStyle w:val="ECCBulletsLv1"/>
              <w:rPr>
                <w:rStyle w:val="ECCParagraph"/>
              </w:rPr>
            </w:pPr>
            <w:r w:rsidRPr="00600372">
              <w:t xml:space="preserve">CEPT considers </w:t>
            </w:r>
            <w:r w:rsidR="00F24485" w:rsidRPr="00600372">
              <w:t>supporting</w:t>
            </w:r>
            <w:r w:rsidRPr="00600372">
              <w:t xml:space="preserve"> the possibility to also apply</w:t>
            </w:r>
            <w:r w:rsidR="00A65221">
              <w:t xml:space="preserve"> </w:t>
            </w:r>
            <w:r w:rsidRPr="00600372">
              <w:t xml:space="preserve">the special procedure of Resolution </w:t>
            </w:r>
            <w:r w:rsidRPr="00D20971">
              <w:rPr>
                <w:rStyle w:val="ECCHLbold"/>
              </w:rPr>
              <w:t>553 (Rev. WRC-15)</w:t>
            </w:r>
            <w:r w:rsidRPr="00600372">
              <w:t xml:space="preserve"> </w:t>
            </w:r>
            <w:r w:rsidR="00543D97" w:rsidRPr="00D0149A">
              <w:rPr>
                <w:rStyle w:val="ECCHLyellow"/>
                <w:shd w:val="clear" w:color="auto" w:fill="auto"/>
              </w:rPr>
              <w:t>once</w:t>
            </w:r>
            <w:r w:rsidR="00543D97" w:rsidRPr="00543D97">
              <w:t xml:space="preserve"> </w:t>
            </w:r>
            <w:r w:rsidRPr="00600372">
              <w:t xml:space="preserve">if the requesting administration has </w:t>
            </w:r>
            <w:r w:rsidRPr="00D20971">
              <w:rPr>
                <w:rStyle w:val="ECCHLyellow"/>
                <w:shd w:val="clear" w:color="auto" w:fill="auto"/>
              </w:rPr>
              <w:t>at maximum</w:t>
            </w:r>
            <w:r w:rsidRPr="00600372">
              <w:t xml:space="preserve"> </w:t>
            </w:r>
            <w:r w:rsidRPr="00600372">
              <w:rPr>
                <w:rStyle w:val="ECCHLunderlined"/>
                <w:u w:val="none"/>
              </w:rPr>
              <w:t>one</w:t>
            </w:r>
            <w:r w:rsidRPr="00600372">
              <w:t xml:space="preserve"> network successfully examined under No. </w:t>
            </w:r>
            <w:r w:rsidRPr="00D20971">
              <w:rPr>
                <w:rStyle w:val="ECCHLbold"/>
              </w:rPr>
              <w:t>9.34</w:t>
            </w:r>
            <w:r w:rsidRPr="00600372">
              <w:t xml:space="preserve"> and published under No. </w:t>
            </w:r>
            <w:r w:rsidRPr="00D20971">
              <w:rPr>
                <w:rStyle w:val="ECCHLbold"/>
              </w:rPr>
              <w:t>9.38</w:t>
            </w:r>
            <w:r w:rsidRPr="00600372">
              <w:t xml:space="preserve"> for the frequency band 21.4-22 GHz </w:t>
            </w:r>
            <w:r w:rsidRPr="00D20971">
              <w:rPr>
                <w:rStyle w:val="ECCHLyellow"/>
                <w:shd w:val="clear" w:color="auto" w:fill="auto"/>
              </w:rPr>
              <w:t>and</w:t>
            </w:r>
            <w:r w:rsidRPr="00600372">
              <w:t xml:space="preserve"> </w:t>
            </w:r>
            <w:r w:rsidRPr="00600372">
              <w:rPr>
                <w:rStyle w:val="ECCHLunderlined"/>
                <w:u w:val="none"/>
              </w:rPr>
              <w:t>at the same orbital position(s</w:t>
            </w:r>
            <w:r w:rsidRPr="00600372">
              <w:rPr>
                <w:rStyle w:val="Accentuation"/>
                <w:i w:val="0"/>
              </w:rPr>
              <w:t>)</w:t>
            </w:r>
            <w:r w:rsidRPr="00600372">
              <w:t xml:space="preserve"> as the network to which the special procedure is to be applied. </w:t>
            </w:r>
          </w:p>
        </w:tc>
        <w:tc>
          <w:tcPr>
            <w:tcW w:w="841" w:type="dxa"/>
          </w:tcPr>
          <w:p w14:paraId="48DEB736" w14:textId="7CEE6260" w:rsidR="00552D04" w:rsidRDefault="002A7AF1" w:rsidP="005362A2">
            <w:pPr>
              <w:pStyle w:val="ECCTabletext"/>
            </w:pPr>
            <w:r>
              <w:t>13</w:t>
            </w:r>
          </w:p>
        </w:tc>
      </w:tr>
      <w:tr w:rsidR="00552D04" w:rsidRPr="00235592" w14:paraId="65D1A9C0" w14:textId="77777777" w:rsidTr="001A21B4">
        <w:trPr>
          <w:trHeight w:val="420"/>
        </w:trPr>
        <w:tc>
          <w:tcPr>
            <w:tcW w:w="1106" w:type="dxa"/>
          </w:tcPr>
          <w:p w14:paraId="729BADD1" w14:textId="376A0F74" w:rsidR="00552D04" w:rsidRDefault="00552D04" w:rsidP="005362A2">
            <w:pPr>
              <w:pStyle w:val="ECCTabletext"/>
            </w:pPr>
            <w:r>
              <w:t>L</w:t>
            </w:r>
          </w:p>
        </w:tc>
        <w:tc>
          <w:tcPr>
            <w:tcW w:w="1725" w:type="dxa"/>
          </w:tcPr>
          <w:p w14:paraId="596812ED" w14:textId="4CD685E7" w:rsidR="00552D04" w:rsidRDefault="003B25E4" w:rsidP="005362A2">
            <w:pPr>
              <w:pStyle w:val="ECCTabletext"/>
            </w:pPr>
            <w:r w:rsidRPr="003B25E4">
              <w:t>TT&amp;C for NGSO in-orbit servicing</w:t>
            </w:r>
          </w:p>
        </w:tc>
        <w:tc>
          <w:tcPr>
            <w:tcW w:w="5821" w:type="dxa"/>
          </w:tcPr>
          <w:p w14:paraId="7710739A" w14:textId="583565EF" w:rsidR="00600372" w:rsidRPr="00600372" w:rsidRDefault="00600372" w:rsidP="00600372">
            <w:pPr>
              <w:pStyle w:val="ECCBulletsLv1"/>
              <w:rPr>
                <w:rStyle w:val="ECCParagraph"/>
              </w:rPr>
            </w:pPr>
            <w:r w:rsidRPr="00600372">
              <w:rPr>
                <w:rStyle w:val="ECCParagraph"/>
              </w:rPr>
              <w:t>CEPT supports clarification of the regulatory framework for frequency assignments used by in-orbit servicing (IOS) spacecraft for TT&amp;C links.</w:t>
            </w:r>
          </w:p>
          <w:p w14:paraId="08AAEC70" w14:textId="2A109555" w:rsidR="00552D04" w:rsidRPr="00A4715F" w:rsidRDefault="00600372" w:rsidP="00600372">
            <w:pPr>
              <w:pStyle w:val="ECCBulletsLv1"/>
              <w:rPr>
                <w:rStyle w:val="ECCParagraph"/>
              </w:rPr>
            </w:pPr>
            <w:r w:rsidRPr="005F58D8">
              <w:rPr>
                <w:rStyle w:val="ECCParagraph"/>
              </w:rPr>
              <w:t xml:space="preserve">CEPT does not currently see a need for </w:t>
            </w:r>
            <w:r w:rsidRPr="00600372">
              <w:rPr>
                <w:rStyle w:val="ECCParagraph"/>
              </w:rPr>
              <w:t>specific spectrum allocations for IOS missions</w:t>
            </w:r>
            <w:r w:rsidR="00821BBD">
              <w:rPr>
                <w:rStyle w:val="ECCParagraph"/>
              </w:rPr>
              <w:t>.</w:t>
            </w:r>
          </w:p>
        </w:tc>
        <w:tc>
          <w:tcPr>
            <w:tcW w:w="841" w:type="dxa"/>
          </w:tcPr>
          <w:p w14:paraId="203D2C1A" w14:textId="34F25FC7" w:rsidR="00552D04" w:rsidRDefault="002A7AF1" w:rsidP="005362A2">
            <w:pPr>
              <w:pStyle w:val="ECCTabletext"/>
            </w:pPr>
            <w:r>
              <w:t>14</w:t>
            </w:r>
          </w:p>
        </w:tc>
      </w:tr>
      <w:tr w:rsidR="005362A2" w:rsidRPr="00235592" w14:paraId="7F6F65B5" w14:textId="77777777" w:rsidTr="001A21B4">
        <w:trPr>
          <w:trHeight w:val="420"/>
        </w:trPr>
        <w:tc>
          <w:tcPr>
            <w:tcW w:w="1106" w:type="dxa"/>
          </w:tcPr>
          <w:p w14:paraId="75E4BBCC" w14:textId="77777777" w:rsidR="005362A2" w:rsidRPr="005362A2" w:rsidRDefault="005362A2" w:rsidP="005362A2">
            <w:pPr>
              <w:pStyle w:val="ECCTabletext"/>
            </w:pPr>
            <w:r>
              <w:t xml:space="preserve">Item </w:t>
            </w:r>
            <w:r w:rsidRPr="005362A2">
              <w:t xml:space="preserve">CG#6 </w:t>
            </w:r>
            <w:r w:rsidRPr="005362A2">
              <w:br/>
              <w:t>Task 3</w:t>
            </w:r>
          </w:p>
        </w:tc>
        <w:tc>
          <w:tcPr>
            <w:tcW w:w="1725" w:type="dxa"/>
          </w:tcPr>
          <w:p w14:paraId="630589C7" w14:textId="77777777" w:rsidR="005362A2" w:rsidRPr="005362A2" w:rsidRDefault="005362A2" w:rsidP="005362A2">
            <w:pPr>
              <w:pStyle w:val="ECCTabletext"/>
            </w:pPr>
            <w:r>
              <w:t>Art</w:t>
            </w:r>
            <w:r w:rsidRPr="005362A2">
              <w:t xml:space="preserve">icle </w:t>
            </w:r>
            <w:r w:rsidRPr="005362A2">
              <w:rPr>
                <w:rStyle w:val="ECCHLbold"/>
              </w:rPr>
              <w:t>21</w:t>
            </w:r>
            <w:r w:rsidRPr="005362A2">
              <w:t xml:space="preserve"> scaling factor equations in No.</w:t>
            </w:r>
            <w:r w:rsidRPr="005362A2">
              <w:rPr>
                <w:rStyle w:val="ECCHLbold"/>
              </w:rPr>
              <w:t>21.16.6</w:t>
            </w:r>
          </w:p>
        </w:tc>
        <w:tc>
          <w:tcPr>
            <w:tcW w:w="5821" w:type="dxa"/>
          </w:tcPr>
          <w:p w14:paraId="66837D1E" w14:textId="77777777" w:rsidR="005362A2" w:rsidRPr="005362A2" w:rsidRDefault="005362A2" w:rsidP="005362A2">
            <w:pPr>
              <w:pStyle w:val="ECCBulletsLv1"/>
            </w:pPr>
            <w:r>
              <w:t xml:space="preserve">CEPT considers that the current equations contained in RR </w:t>
            </w:r>
            <w:r w:rsidRPr="005362A2">
              <w:rPr>
                <w:rStyle w:val="ECCParagraph"/>
              </w:rPr>
              <w:t xml:space="preserve">No. </w:t>
            </w:r>
            <w:r w:rsidRPr="005362A2">
              <w:rPr>
                <w:rStyle w:val="ECCHLbold"/>
              </w:rPr>
              <w:t>21.16.6</w:t>
            </w:r>
            <w:r w:rsidRPr="005362A2">
              <w:t xml:space="preserve">, for the scaling function X, dependent on the number of satellites in the constellation, N, leads to inaccurate scaling calculations when applied to satellite constellations composed of a number of satellites greater than at least 288 satellites (with the final number of satellites still to be decided). </w:t>
            </w:r>
          </w:p>
          <w:p w14:paraId="5D63E254" w14:textId="2CA8F0A9" w:rsidR="005362A2" w:rsidRPr="005362A2" w:rsidRDefault="005362A2" w:rsidP="005362A2">
            <w:pPr>
              <w:pStyle w:val="ECCBulletsLv1"/>
            </w:pPr>
            <w:r w:rsidRPr="0060678A">
              <w:t xml:space="preserve">CEPT supports the development of </w:t>
            </w:r>
            <w:r w:rsidRPr="005362A2">
              <w:t xml:space="preserve">adequate scaling factor for large non-GSO constellations, while ensuring the same level of protection to </w:t>
            </w:r>
            <w:r w:rsidR="00463903" w:rsidRPr="00C65BEE">
              <w:t xml:space="preserve">Fixed and Mobile </w:t>
            </w:r>
            <w:r w:rsidR="00463903" w:rsidRPr="00463903">
              <w:t>Services as they have today</w:t>
            </w:r>
            <w:r w:rsidRPr="005362A2">
              <w:t>.</w:t>
            </w:r>
          </w:p>
          <w:p w14:paraId="6DD921B4" w14:textId="77777777" w:rsidR="005362A2" w:rsidRPr="005362A2" w:rsidRDefault="005362A2" w:rsidP="005362A2">
            <w:pPr>
              <w:pStyle w:val="ECCBulletsLv1"/>
            </w:pPr>
            <w:r w:rsidRPr="00860475">
              <w:t>Updates of the scaling factor equations should focus primarily on the maximum potential visibility of the non-GSO system’s space stations visible to any single point on the surface of the Earth.</w:t>
            </w:r>
          </w:p>
          <w:p w14:paraId="3DEEF47F" w14:textId="77777777" w:rsidR="005362A2" w:rsidRPr="005362A2" w:rsidRDefault="005362A2" w:rsidP="005362A2">
            <w:pPr>
              <w:pStyle w:val="ECCBulletsLv1"/>
            </w:pPr>
            <w:r w:rsidRPr="00860475">
              <w:t xml:space="preserve">CEPT supports that this </w:t>
            </w:r>
            <w:r w:rsidRPr="005362A2">
              <w:t xml:space="preserve">item may only modify the X value, excluding any other part of the computation of the </w:t>
            </w:r>
            <w:proofErr w:type="spellStart"/>
            <w:r w:rsidRPr="005362A2">
              <w:t>pfd</w:t>
            </w:r>
            <w:proofErr w:type="spellEnd"/>
            <w:r w:rsidRPr="005362A2">
              <w:t xml:space="preserve"> limit in RR Table </w:t>
            </w:r>
            <w:r w:rsidRPr="005362A2">
              <w:rPr>
                <w:rStyle w:val="ECCHLbold"/>
              </w:rPr>
              <w:t>21-4</w:t>
            </w:r>
            <w:r w:rsidRPr="005362A2">
              <w:t xml:space="preserve"> for systems with the number of satellites greater than at least 288 (with the final number of satellites still to be decided).</w:t>
            </w:r>
          </w:p>
          <w:p w14:paraId="13267A97" w14:textId="77777777" w:rsidR="005362A2" w:rsidRPr="005362A2" w:rsidRDefault="005362A2" w:rsidP="005362A2">
            <w:pPr>
              <w:pStyle w:val="ECCBulletsLv1"/>
            </w:pPr>
            <w:r w:rsidRPr="00860475">
              <w:t xml:space="preserve">CEPT supports that </w:t>
            </w:r>
            <w:r w:rsidRPr="005362A2">
              <w:t xml:space="preserve">future treatment of non-GSO systems is consistent among non-GSO systems. </w:t>
            </w:r>
          </w:p>
          <w:p w14:paraId="4639AD26" w14:textId="1075736B" w:rsidR="005362A2" w:rsidRPr="005362A2" w:rsidRDefault="005362A2" w:rsidP="005362A2">
            <w:pPr>
              <w:pStyle w:val="ECCBulletsLv1"/>
            </w:pPr>
            <w:r w:rsidRPr="00860475">
              <w:t>CEPT supports that</w:t>
            </w:r>
            <w:r w:rsidRPr="005362A2">
              <w:t xml:space="preserve"> changes to the X value do not create differences in terms of examination by the BR of the non-GSO systems, or affect the priority of the non-GSO systems, based on their filing date.</w:t>
            </w:r>
          </w:p>
          <w:p w14:paraId="2DB470C9" w14:textId="04D99316" w:rsidR="005362A2" w:rsidRPr="001A21B4" w:rsidRDefault="005362A2" w:rsidP="007E570A">
            <w:pPr>
              <w:pStyle w:val="ECCBulletsLv1"/>
            </w:pPr>
            <w:r w:rsidRPr="00883483">
              <w:rPr>
                <w:rStyle w:val="ECCParagraph"/>
              </w:rPr>
              <w:tab/>
            </w:r>
            <w:r w:rsidRPr="001A21B4">
              <w:t xml:space="preserve">CEPT supports that the </w:t>
            </w:r>
            <w:r w:rsidR="007E570A">
              <w:t>modification</w:t>
            </w:r>
            <w:r w:rsidRPr="001A21B4">
              <w:t xml:space="preserve"> of RR No. </w:t>
            </w:r>
            <w:r w:rsidRPr="001A21B4">
              <w:rPr>
                <w:rStyle w:val="ECCHLbold"/>
              </w:rPr>
              <w:t>21.16.6</w:t>
            </w:r>
            <w:r w:rsidRPr="001A21B4">
              <w:t xml:space="preserve"> should be based on single-entry </w:t>
            </w:r>
            <w:proofErr w:type="spellStart"/>
            <w:r w:rsidR="00324CCF">
              <w:rPr>
                <w:rStyle w:val="ECCParagraph"/>
              </w:rPr>
              <w:t>pfd</w:t>
            </w:r>
            <w:proofErr w:type="spellEnd"/>
            <w:r w:rsidR="00324CCF">
              <w:rPr>
                <w:rStyle w:val="ECCParagraph"/>
              </w:rPr>
              <w:t xml:space="preserve"> </w:t>
            </w:r>
            <w:r w:rsidRPr="001A21B4">
              <w:t>per system.</w:t>
            </w:r>
          </w:p>
        </w:tc>
        <w:tc>
          <w:tcPr>
            <w:tcW w:w="841" w:type="dxa"/>
          </w:tcPr>
          <w:p w14:paraId="7E578AA9" w14:textId="21ADCB13" w:rsidR="005362A2" w:rsidRPr="005362A2" w:rsidRDefault="002208C7" w:rsidP="005362A2">
            <w:pPr>
              <w:pStyle w:val="ECCTabletext"/>
            </w:pPr>
            <w:hyperlink w:anchor="_ISSUE_6" w:history="1">
              <w:r w:rsidR="002B6218">
                <w:rPr>
                  <w:rStyle w:val="Lienhypertexte"/>
                </w:rPr>
                <w:t>15</w:t>
              </w:r>
            </w:hyperlink>
          </w:p>
        </w:tc>
      </w:tr>
    </w:tbl>
    <w:p w14:paraId="59C8C53B" w14:textId="77777777" w:rsidR="0069108A" w:rsidRPr="0069108A" w:rsidRDefault="0069108A" w:rsidP="0069108A">
      <w:pPr>
        <w:pStyle w:val="Titre1"/>
      </w:pPr>
      <w:r w:rsidRPr="0069108A">
        <w:lastRenderedPageBreak/>
        <w:t xml:space="preserve">Background </w:t>
      </w:r>
    </w:p>
    <w:p w14:paraId="064351DD" w14:textId="77777777" w:rsidR="0069108A" w:rsidRPr="009E12DA" w:rsidRDefault="0069108A" w:rsidP="0069108A">
      <w:r w:rsidRPr="00A03466">
        <w:rPr>
          <w:rStyle w:val="ECCParagraph"/>
        </w:rPr>
        <w:t xml:space="preserve">Regarding the draft Brief structure, the issues </w:t>
      </w:r>
      <w:r>
        <w:rPr>
          <w:rStyle w:val="ECCParagraph"/>
        </w:rPr>
        <w:t>discussed</w:t>
      </w:r>
      <w:r w:rsidRPr="00A03466">
        <w:rPr>
          <w:rStyle w:val="ECCParagraph"/>
        </w:rPr>
        <w:t xml:space="preserve"> </w:t>
      </w:r>
      <w:r>
        <w:rPr>
          <w:rStyle w:val="ECCParagraph"/>
        </w:rPr>
        <w:t>in connection to</w:t>
      </w:r>
      <w:r w:rsidRPr="00A03466">
        <w:rPr>
          <w:rStyle w:val="ECCParagraph"/>
        </w:rPr>
        <w:t xml:space="preserve"> Agenda item 7 </w:t>
      </w:r>
      <w:r>
        <w:rPr>
          <w:rStyle w:val="ECCParagraph"/>
        </w:rPr>
        <w:t xml:space="preserve">in ITU-R </w:t>
      </w:r>
      <w:r w:rsidRPr="00A03466">
        <w:rPr>
          <w:rStyle w:val="ECCParagraph"/>
        </w:rPr>
        <w:t xml:space="preserve">are considered </w:t>
      </w:r>
      <w:r>
        <w:rPr>
          <w:rStyle w:val="ECCParagraph"/>
        </w:rPr>
        <w:t>topic</w:t>
      </w:r>
      <w:r w:rsidRPr="00A03466">
        <w:rPr>
          <w:rStyle w:val="ECCParagraph"/>
        </w:rPr>
        <w:t xml:space="preserve"> by </w:t>
      </w:r>
      <w:r>
        <w:rPr>
          <w:rStyle w:val="ECCParagraph"/>
        </w:rPr>
        <w:t>topic</w:t>
      </w:r>
      <w:r w:rsidRPr="00A03466">
        <w:rPr>
          <w:rStyle w:val="ECCParagraph"/>
        </w:rPr>
        <w:t xml:space="preserve"> in separate Annexes to this Brief. </w:t>
      </w:r>
    </w:p>
    <w:p w14:paraId="5FA82E33" w14:textId="77777777" w:rsidR="0069108A" w:rsidRPr="0069108A" w:rsidRDefault="0069108A" w:rsidP="0069108A">
      <w:pPr>
        <w:pStyle w:val="Titre2"/>
        <w:rPr>
          <w:rStyle w:val="ECCParagraph"/>
        </w:rPr>
      </w:pPr>
      <w:r>
        <w:rPr>
          <w:rStyle w:val="ECCParagraph"/>
        </w:rPr>
        <w:t>The general development of agenda item 7 this study period</w:t>
      </w:r>
    </w:p>
    <w:p w14:paraId="1F46BCC5" w14:textId="7B9CB873" w:rsidR="00B4537E" w:rsidRDefault="00A8357B" w:rsidP="00A8357B">
      <w:pPr>
        <w:rPr>
          <w:rStyle w:val="ECCParagraph"/>
        </w:rPr>
      </w:pPr>
      <w:r>
        <w:t xml:space="preserve">The </w:t>
      </w:r>
      <w:r w:rsidRPr="009002C8">
        <w:t>ITU</w:t>
      </w:r>
      <w:r>
        <w:t>-</w:t>
      </w:r>
      <w:r w:rsidRPr="009002C8">
        <w:t>R Working Party 4A (WP</w:t>
      </w:r>
      <w:r>
        <w:t xml:space="preserve"> </w:t>
      </w:r>
      <w:r w:rsidRPr="009002C8">
        <w:t xml:space="preserve">4A) </w:t>
      </w:r>
      <w:r>
        <w:t xml:space="preserve">is as usual the </w:t>
      </w:r>
      <w:r w:rsidRPr="009002C8">
        <w:t xml:space="preserve">lead Working Party and </w:t>
      </w:r>
      <w:r>
        <w:t xml:space="preserve">so </w:t>
      </w:r>
      <w:r w:rsidR="00B3040D">
        <w:t>far,</w:t>
      </w:r>
      <w:r>
        <w:t xml:space="preserve"> the only dedicated WP to discuss and develop Agenda item 7 Topics.</w:t>
      </w:r>
      <w:r w:rsidRPr="009002C8">
        <w:t xml:space="preserve"> </w:t>
      </w:r>
      <w:r w:rsidRPr="00E54493">
        <w:t xml:space="preserve">The </w:t>
      </w:r>
      <w:r>
        <w:t>sixth</w:t>
      </w:r>
      <w:r w:rsidRPr="00E54493">
        <w:t xml:space="preserve"> WP 4A me</w:t>
      </w:r>
      <w:r>
        <w:t>e</w:t>
      </w:r>
      <w:r w:rsidRPr="00E54493">
        <w:t xml:space="preserve">ting the </w:t>
      </w:r>
      <w:r>
        <w:t>11-22 May 2022</w:t>
      </w:r>
      <w:r w:rsidR="006058A2">
        <w:t xml:space="preserve"> concluded to establish 14 Topics under </w:t>
      </w:r>
      <w:r w:rsidR="008C71F7">
        <w:t>Agenda item 7, of which 7 are new identified Topics</w:t>
      </w:r>
      <w:r w:rsidRPr="00E54493">
        <w:t>.</w:t>
      </w:r>
      <w:r w:rsidR="008C71F7">
        <w:t xml:space="preserve"> </w:t>
      </w:r>
      <w:r>
        <w:t xml:space="preserve">These </w:t>
      </w:r>
      <w:r w:rsidR="008C71F7">
        <w:t xml:space="preserve">14 </w:t>
      </w:r>
      <w:r>
        <w:t>Topics are captured in Annexes 1-</w:t>
      </w:r>
      <w:r w:rsidR="00C629DA">
        <w:t>14</w:t>
      </w:r>
      <w:r>
        <w:t xml:space="preserve"> of this draft Brief. Further, </w:t>
      </w:r>
      <w:r w:rsidRPr="00E54493">
        <w:t xml:space="preserve">WP 4A </w:t>
      </w:r>
      <w:r>
        <w:t xml:space="preserve">is to advance the work on Resolution </w:t>
      </w:r>
      <w:r w:rsidRPr="004F2442">
        <w:rPr>
          <w:rStyle w:val="ECCHLbold"/>
        </w:rPr>
        <w:t xml:space="preserve">769 </w:t>
      </w:r>
      <w:bookmarkStart w:id="1" w:name="_Hlk41663490"/>
      <w:r w:rsidRPr="004F2442">
        <w:rPr>
          <w:rStyle w:val="ECCHLbold"/>
        </w:rPr>
        <w:t>(WRC-19)</w:t>
      </w:r>
      <w:bookmarkEnd w:id="1"/>
      <w:r>
        <w:t xml:space="preserve"> and the Art</w:t>
      </w:r>
      <w:r w:rsidRPr="003C4446">
        <w:t xml:space="preserve">icle </w:t>
      </w:r>
      <w:r w:rsidRPr="00B04D1A">
        <w:rPr>
          <w:rStyle w:val="ECCHLbold"/>
        </w:rPr>
        <w:t>21</w:t>
      </w:r>
      <w:r w:rsidRPr="003C4446">
        <w:t xml:space="preserve"> scaling factor equations in No.</w:t>
      </w:r>
      <w:r w:rsidRPr="00B04D1A">
        <w:rPr>
          <w:rStyle w:val="ECCHLbold"/>
        </w:rPr>
        <w:t>21.16.6</w:t>
      </w:r>
      <w:r>
        <w:rPr>
          <w:rStyle w:val="ECCHLbold"/>
        </w:rPr>
        <w:t xml:space="preserve"> </w:t>
      </w:r>
      <w:r>
        <w:t xml:space="preserve">which are captured in Annexes </w:t>
      </w:r>
      <w:r w:rsidR="00C629DA">
        <w:t xml:space="preserve">15 </w:t>
      </w:r>
      <w:r>
        <w:t xml:space="preserve">and </w:t>
      </w:r>
      <w:r w:rsidR="00C629DA">
        <w:t>16</w:t>
      </w:r>
      <w:r>
        <w:t>, respectively, of this draft Brief.</w:t>
      </w:r>
      <w:r w:rsidR="00B52C21">
        <w:t xml:space="preserve"> Finally, the CEPT initiative in </w:t>
      </w:r>
      <w:r w:rsidR="00B52C21" w:rsidRPr="00666201">
        <w:t>Article 4.1.24 of AP</w:t>
      </w:r>
      <w:r w:rsidR="00B52C21" w:rsidRPr="00EB33F4">
        <w:t xml:space="preserve"> </w:t>
      </w:r>
      <w:r w:rsidR="00B52C21" w:rsidRPr="00EB33F4">
        <w:rPr>
          <w:rStyle w:val="ECCHLbold"/>
        </w:rPr>
        <w:t>30</w:t>
      </w:r>
      <w:r w:rsidR="00B52C21" w:rsidRPr="00EB33F4">
        <w:t xml:space="preserve"> &amp; </w:t>
      </w:r>
      <w:r w:rsidR="00B52C21" w:rsidRPr="00EB33F4">
        <w:rPr>
          <w:rStyle w:val="ECCHLbold"/>
        </w:rPr>
        <w:t>30A</w:t>
      </w:r>
      <w:r w:rsidR="00B52C21">
        <w:rPr>
          <w:rStyle w:val="ECCHLbold"/>
        </w:rPr>
        <w:t xml:space="preserve"> </w:t>
      </w:r>
      <w:r w:rsidR="00B52C21">
        <w:rPr>
          <w:rStyle w:val="ECCParagraph"/>
        </w:rPr>
        <w:t xml:space="preserve">is captured in Annex 17. </w:t>
      </w:r>
    </w:p>
    <w:p w14:paraId="5723C31C" w14:textId="749BA7A4" w:rsidR="00A8357B" w:rsidRDefault="00A8357B" w:rsidP="00A8357B">
      <w:r>
        <w:rPr>
          <w:rStyle w:val="ECCParagraph"/>
        </w:rPr>
        <w:t xml:space="preserve">According to the WP 4A Work plan, </w:t>
      </w:r>
      <w:r w:rsidRPr="00304105">
        <w:rPr>
          <w:rStyle w:val="ECCParagraph"/>
        </w:rPr>
        <w:t xml:space="preserve">the WP 4A meeting </w:t>
      </w:r>
      <w:r>
        <w:rPr>
          <w:rStyle w:val="ECCParagraph"/>
        </w:rPr>
        <w:t>in May</w:t>
      </w:r>
      <w:r w:rsidRPr="00304105">
        <w:rPr>
          <w:rStyle w:val="ECCParagraph"/>
        </w:rPr>
        <w:t xml:space="preserve"> 2022 </w:t>
      </w:r>
      <w:r w:rsidR="00C629DA">
        <w:rPr>
          <w:rStyle w:val="ECCParagraph"/>
        </w:rPr>
        <w:t>was</w:t>
      </w:r>
      <w:r w:rsidRPr="00304105">
        <w:rPr>
          <w:rStyle w:val="ECCParagraph"/>
        </w:rPr>
        <w:t xml:space="preserve"> the last meeting to consider identification of additional WRC-</w:t>
      </w:r>
      <w:r>
        <w:rPr>
          <w:rStyle w:val="ECCParagraph"/>
        </w:rPr>
        <w:t>23</w:t>
      </w:r>
      <w:r w:rsidRPr="00304105">
        <w:rPr>
          <w:rStyle w:val="ECCParagraph"/>
        </w:rPr>
        <w:t xml:space="preserve"> Agenda item 7 topics making the </w:t>
      </w:r>
      <w:r w:rsidR="00911693">
        <w:rPr>
          <w:rStyle w:val="ECCParagraph"/>
        </w:rPr>
        <w:t>next</w:t>
      </w:r>
      <w:r w:rsidRPr="00304105">
        <w:rPr>
          <w:rStyle w:val="ECCParagraph"/>
        </w:rPr>
        <w:t xml:space="preserve"> WP 4A meeting </w:t>
      </w:r>
      <w:r w:rsidR="00911693">
        <w:rPr>
          <w:rStyle w:val="ECCParagraph"/>
        </w:rPr>
        <w:t>in September</w:t>
      </w:r>
      <w:r w:rsidR="00911693" w:rsidRPr="00304105">
        <w:rPr>
          <w:rStyle w:val="ECCParagraph"/>
        </w:rPr>
        <w:t xml:space="preserve"> </w:t>
      </w:r>
      <w:r w:rsidRPr="00304105">
        <w:rPr>
          <w:rStyle w:val="ECCParagraph"/>
        </w:rPr>
        <w:t xml:space="preserve">2022 dedicated to </w:t>
      </w:r>
      <w:r w:rsidR="00B3040D" w:rsidRPr="00304105">
        <w:rPr>
          <w:rStyle w:val="ECCParagraph"/>
        </w:rPr>
        <w:t>finali</w:t>
      </w:r>
      <w:r w:rsidR="00B3040D">
        <w:rPr>
          <w:rStyle w:val="ECCParagraph"/>
        </w:rPr>
        <w:t>s</w:t>
      </w:r>
      <w:r w:rsidR="00B3040D" w:rsidRPr="00304105">
        <w:rPr>
          <w:rStyle w:val="ECCParagraph"/>
        </w:rPr>
        <w:t>ing</w:t>
      </w:r>
      <w:r w:rsidRPr="00304105">
        <w:rPr>
          <w:rStyle w:val="ECCParagraph"/>
        </w:rPr>
        <w:t xml:space="preserve"> and agree on the draft CPM text for all WRC-</w:t>
      </w:r>
      <w:r>
        <w:rPr>
          <w:rStyle w:val="ECCParagraph"/>
        </w:rPr>
        <w:t>23</w:t>
      </w:r>
      <w:r w:rsidRPr="00304105">
        <w:rPr>
          <w:rStyle w:val="ECCParagraph"/>
        </w:rPr>
        <w:t xml:space="preserve"> Agenda item 7 </w:t>
      </w:r>
      <w:r w:rsidR="00911693">
        <w:rPr>
          <w:rStyle w:val="ECCParagraph"/>
        </w:rPr>
        <w:t>T</w:t>
      </w:r>
      <w:r w:rsidRPr="00304105">
        <w:rPr>
          <w:rStyle w:val="ECCParagraph"/>
        </w:rPr>
        <w:t>opics</w:t>
      </w:r>
      <w:r>
        <w:rPr>
          <w:rStyle w:val="ECCParagraph"/>
        </w:rPr>
        <w:t xml:space="preserve"> (</w:t>
      </w:r>
      <w:r w:rsidRPr="008521A3">
        <w:t xml:space="preserve">in accordance with Resolution ITU-R </w:t>
      </w:r>
      <w:r>
        <w:t>2</w:t>
      </w:r>
      <w:r w:rsidRPr="008521A3">
        <w:t>-8 § A1.2.6</w:t>
      </w:r>
      <w:r>
        <w:t>).</w:t>
      </w:r>
    </w:p>
    <w:p w14:paraId="080748E8" w14:textId="2E73A27C" w:rsidR="00F579A3" w:rsidRDefault="00F579A3" w:rsidP="00A8357B">
      <w:r>
        <w:t>The WP 4A May 2022 meeting ended with this final set of Agenda item 7 Topics with the summarized draft CPM text status:</w:t>
      </w:r>
    </w:p>
    <w:p w14:paraId="5FA0D6CF" w14:textId="666B1F58" w:rsidR="00F579A3" w:rsidRDefault="00AC556B" w:rsidP="00A8357B">
      <w:r w:rsidRPr="00AC556B">
        <w:rPr>
          <w:noProof/>
          <w:lang w:val="en-US"/>
        </w:rPr>
        <w:drawing>
          <wp:inline distT="0" distB="0" distL="0" distR="0" wp14:anchorId="369E53A1" wp14:editId="3B9C0684">
            <wp:extent cx="6120765" cy="3079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3079750"/>
                    </a:xfrm>
                    <a:prstGeom prst="rect">
                      <a:avLst/>
                    </a:prstGeom>
                  </pic:spPr>
                </pic:pic>
              </a:graphicData>
            </a:graphic>
          </wp:inline>
        </w:drawing>
      </w:r>
    </w:p>
    <w:p w14:paraId="32F6145A" w14:textId="77777777" w:rsidR="0069108A" w:rsidRPr="0069108A" w:rsidRDefault="0069108A" w:rsidP="0069108A">
      <w:pPr>
        <w:pStyle w:val="Titre2"/>
        <w:rPr>
          <w:rStyle w:val="ECCParagraph"/>
        </w:rPr>
      </w:pPr>
      <w:r>
        <w:rPr>
          <w:rStyle w:val="ECCParagraph"/>
        </w:rPr>
        <w:t>Further historic</w:t>
      </w:r>
      <w:r w:rsidRPr="0069108A">
        <w:rPr>
          <w:rStyle w:val="ECCParagraph"/>
        </w:rPr>
        <w:t xml:space="preserve"> procedural background on the standing Agenda item 7</w:t>
      </w:r>
    </w:p>
    <w:p w14:paraId="25778136" w14:textId="77777777" w:rsidR="0069108A" w:rsidRPr="00C37029" w:rsidRDefault="0069108A" w:rsidP="0069108A">
      <w:pPr>
        <w:rPr>
          <w:rStyle w:val="ECCParagraph"/>
        </w:rPr>
      </w:pPr>
      <w:r w:rsidRPr="00A03466">
        <w:rPr>
          <w:rStyle w:val="ECCParagraph"/>
        </w:rPr>
        <w:t xml:space="preserve">In response to </w:t>
      </w:r>
      <w:r w:rsidRPr="00C37029">
        <w:rPr>
          <w:rStyle w:val="ECCParagraph"/>
        </w:rPr>
        <w:t xml:space="preserve">Resolution 86 (Rev. Marrakesh, 2002), WRC-03 adopted Resolution </w:t>
      </w:r>
      <w:r w:rsidRPr="004F2442">
        <w:rPr>
          <w:rStyle w:val="ECCHLbold"/>
        </w:rPr>
        <w:t>86</w:t>
      </w:r>
      <w:r w:rsidRPr="00C37029">
        <w:rPr>
          <w:rStyle w:val="ECCParagraph"/>
        </w:rPr>
        <w:t>, which resolved that the scope and criteria of Resolution 86 (Rev. Marrakesh, 2002) of the Plenipotentiary Conference to be considered by future WRCs were as follows:</w:t>
      </w:r>
    </w:p>
    <w:p w14:paraId="74A4B727" w14:textId="71E827F7" w:rsidR="0069108A" w:rsidRPr="0069108A" w:rsidRDefault="0069108A" w:rsidP="0069108A">
      <w:pPr>
        <w:pStyle w:val="ECCBulletsLv1"/>
      </w:pPr>
      <w:r w:rsidRPr="00A03466">
        <w:t xml:space="preserve">to consider any proposals which deal with deficiencies in the advance publication, </w:t>
      </w:r>
      <w:r w:rsidR="00B3040D" w:rsidRPr="00A03466">
        <w:t>coordination,</w:t>
      </w:r>
      <w:r w:rsidRPr="00A03466">
        <w:t xml:space="preserve"> and </w:t>
      </w:r>
      <w:r w:rsidRPr="0069108A">
        <w:t xml:space="preserve">notification procedures of the Radio Regulations for space services which have either been identified by the Board and included in the Rules of Procedure or which have been identified by administrations or by the Radiocommunication Bureau, as </w:t>
      </w:r>
      <w:r w:rsidR="00B3040D" w:rsidRPr="0069108A">
        <w:t>appropriate.</w:t>
      </w:r>
    </w:p>
    <w:p w14:paraId="6E133865" w14:textId="307F1A7F" w:rsidR="0069108A" w:rsidRPr="0069108A" w:rsidRDefault="0069108A" w:rsidP="0069108A">
      <w:pPr>
        <w:pStyle w:val="ECCBulletsLv1"/>
      </w:pPr>
      <w:r w:rsidRPr="00A03466">
        <w:t xml:space="preserve">to consider any proposals which are intended to transform the content of the Rules of Procedure into a regulatory </w:t>
      </w:r>
      <w:r w:rsidR="00B3040D" w:rsidRPr="00A03466">
        <w:t>text.</w:t>
      </w:r>
    </w:p>
    <w:p w14:paraId="726763D0" w14:textId="7D6D3A8E" w:rsidR="0069108A" w:rsidRPr="0069108A" w:rsidRDefault="0069108A" w:rsidP="0069108A">
      <w:pPr>
        <w:pStyle w:val="ECCBulletsLv1"/>
      </w:pPr>
      <w:r w:rsidRPr="00A03466">
        <w:lastRenderedPageBreak/>
        <w:t xml:space="preserve">to ensure that these procedures, characteristics and appendices reflect the latest technologies, as far as </w:t>
      </w:r>
      <w:r w:rsidR="00B3040D" w:rsidRPr="00A03466">
        <w:t>possible.</w:t>
      </w:r>
    </w:p>
    <w:p w14:paraId="036D1CC6" w14:textId="705BDBF6" w:rsidR="0069108A" w:rsidRPr="0069108A" w:rsidRDefault="0069108A" w:rsidP="0069108A">
      <w:pPr>
        <w:pStyle w:val="ECCBulletsLv1"/>
        <w:rPr>
          <w:rStyle w:val="ECCParagraph"/>
        </w:rPr>
      </w:pPr>
      <w:r w:rsidRPr="00A03466">
        <w:t xml:space="preserve">to consider any proposals intended to facilitate, in accordance with Article 44 of the Constitution, the rational, efficient and economical use of radio frequencies and the associated orbits including the geostationary orbit in accordance with </w:t>
      </w:r>
      <w:r w:rsidRPr="0069108A">
        <w:rPr>
          <w:rStyle w:val="Accentuation"/>
        </w:rPr>
        <w:t>resolves</w:t>
      </w:r>
      <w:r w:rsidRPr="0069108A">
        <w:t xml:space="preserve"> 2 of Resolution </w:t>
      </w:r>
      <w:r w:rsidRPr="00BD1B07">
        <w:rPr>
          <w:rStyle w:val="ECCHLbold"/>
        </w:rPr>
        <w:t>80 (Rev.WRC</w:t>
      </w:r>
      <w:r w:rsidRPr="00BD1B07">
        <w:rPr>
          <w:rStyle w:val="ECCHLbold"/>
        </w:rPr>
        <w:noBreakHyphen/>
        <w:t>2000)</w:t>
      </w:r>
      <w:r w:rsidRPr="0069108A">
        <w:t xml:space="preserve"> and resolves to request the 2003 and subsequent World Radiocommunication Conferences of </w:t>
      </w:r>
      <w:r w:rsidRPr="0069108A">
        <w:rPr>
          <w:rStyle w:val="ECCParagraph"/>
        </w:rPr>
        <w:t xml:space="preserve">Resolution 86 (Rev. Marrakesh, 2002) of the Plenipotentiary </w:t>
      </w:r>
      <w:r w:rsidR="00B3040D" w:rsidRPr="0069108A">
        <w:rPr>
          <w:rStyle w:val="ECCParagraph"/>
        </w:rPr>
        <w:t>Conference.</w:t>
      </w:r>
    </w:p>
    <w:p w14:paraId="0BF5954D" w14:textId="52EE3A74" w:rsidR="0069108A" w:rsidRPr="0069108A" w:rsidRDefault="0069108A" w:rsidP="0069108A">
      <w:pPr>
        <w:pStyle w:val="ECCBulletsLv1"/>
        <w:rPr>
          <w:rStyle w:val="ECCParagraph"/>
        </w:rPr>
      </w:pPr>
      <w:r w:rsidRPr="00C37029">
        <w:rPr>
          <w:rStyle w:val="ECCParagraph"/>
        </w:rPr>
        <w:t xml:space="preserve">to consider any changes to provisions of the Radio Regulations for space services that would result in the simplification of the procedures and the work of the Bureau and/or </w:t>
      </w:r>
      <w:r w:rsidR="00B3040D" w:rsidRPr="00C37029">
        <w:rPr>
          <w:rStyle w:val="ECCParagraph"/>
        </w:rPr>
        <w:t>administrations.</w:t>
      </w:r>
    </w:p>
    <w:p w14:paraId="676D5561" w14:textId="77777777" w:rsidR="0069108A" w:rsidRPr="0069108A" w:rsidRDefault="0069108A" w:rsidP="0069108A">
      <w:pPr>
        <w:pStyle w:val="ECCBulletsLv1"/>
        <w:rPr>
          <w:rStyle w:val="ECCParagraph"/>
        </w:rPr>
      </w:pPr>
      <w:r w:rsidRPr="00C37029">
        <w:rPr>
          <w:rStyle w:val="ECCParagraph"/>
        </w:rPr>
        <w:t>to consider any changes to the Radio Regulations that follow from decisions of a Plenipotentiary Conference on space matters.</w:t>
      </w:r>
    </w:p>
    <w:p w14:paraId="68716318" w14:textId="379F12E8" w:rsidR="0069108A" w:rsidRPr="00C37029" w:rsidRDefault="0069108A" w:rsidP="0069108A">
      <w:pPr>
        <w:rPr>
          <w:rStyle w:val="ECCParagraph"/>
        </w:rPr>
      </w:pPr>
      <w:r w:rsidRPr="00C37029">
        <w:rPr>
          <w:rStyle w:val="ECCParagraph"/>
        </w:rPr>
        <w:t xml:space="preserve">WRC-07 considered proposals under the above scope and criteria </w:t>
      </w:r>
      <w:r w:rsidR="00B3040D" w:rsidRPr="00C37029">
        <w:rPr>
          <w:rStyle w:val="ECCParagraph"/>
        </w:rPr>
        <w:t>and</w:t>
      </w:r>
      <w:r w:rsidRPr="00C37029">
        <w:rPr>
          <w:rStyle w:val="ECCParagraph"/>
        </w:rPr>
        <w:t xml:space="preserve"> modified Resolution</w:t>
      </w:r>
      <w:r>
        <w:rPr>
          <w:rStyle w:val="ECCParagraph"/>
        </w:rPr>
        <w:t> </w:t>
      </w:r>
      <w:r w:rsidRPr="004F2442">
        <w:rPr>
          <w:rStyle w:val="ECCHLbold"/>
        </w:rPr>
        <w:t>86</w:t>
      </w:r>
      <w:r>
        <w:rPr>
          <w:rStyle w:val="ECCHLbold"/>
        </w:rPr>
        <w:t> </w:t>
      </w:r>
      <w:r w:rsidRPr="004F2442">
        <w:rPr>
          <w:rStyle w:val="ECCHLbold"/>
        </w:rPr>
        <w:t>(WRC</w:t>
      </w:r>
      <w:r>
        <w:rPr>
          <w:rStyle w:val="ECCHLbold"/>
        </w:rPr>
        <w:noBreakHyphen/>
      </w:r>
      <w:r w:rsidRPr="004F2442">
        <w:rPr>
          <w:rStyle w:val="ECCHLbold"/>
        </w:rPr>
        <w:t>03)</w:t>
      </w:r>
      <w:r w:rsidRPr="00C37029">
        <w:rPr>
          <w:rStyle w:val="ECCParagraph"/>
        </w:rPr>
        <w:t xml:space="preserve"> itself so as to create a standing Agenda item for future WRCs. </w:t>
      </w:r>
    </w:p>
    <w:p w14:paraId="60F38F65" w14:textId="77777777" w:rsidR="0069108A" w:rsidRPr="00A03466" w:rsidRDefault="0069108A" w:rsidP="0069108A">
      <w:pPr>
        <w:rPr>
          <w:rStyle w:val="ECCParagraph"/>
        </w:rPr>
      </w:pPr>
      <w:r w:rsidRPr="00A03466">
        <w:rPr>
          <w:rStyle w:val="ECCParagraph"/>
        </w:rPr>
        <w:t xml:space="preserve">WRC-12 amended the title of the </w:t>
      </w:r>
      <w:r>
        <w:rPr>
          <w:rStyle w:val="ECCParagraph"/>
        </w:rPr>
        <w:t>a</w:t>
      </w:r>
      <w:r w:rsidRPr="00A03466">
        <w:rPr>
          <w:rStyle w:val="ECCParagraph"/>
        </w:rPr>
        <w:t xml:space="preserve">genda item from the version in the WRC-12 Agenda in order to allow for options other than making changes and to clarify the overall goal of the </w:t>
      </w:r>
      <w:r>
        <w:rPr>
          <w:rStyle w:val="ECCParagraph"/>
        </w:rPr>
        <w:t>a</w:t>
      </w:r>
      <w:r w:rsidRPr="00A03466">
        <w:rPr>
          <w:rStyle w:val="ECCParagraph"/>
        </w:rPr>
        <w:t xml:space="preserve">genda item. </w:t>
      </w:r>
    </w:p>
    <w:p w14:paraId="7AD1034F" w14:textId="49F13F8B" w:rsidR="0069108A" w:rsidRDefault="0069108A" w:rsidP="0069108A">
      <w:pPr>
        <w:rPr>
          <w:rStyle w:val="ECCParagraph"/>
        </w:rPr>
      </w:pPr>
      <w:r w:rsidRPr="00A03466">
        <w:rPr>
          <w:rStyle w:val="ECCParagraph"/>
        </w:rPr>
        <w:t xml:space="preserve">WRC-15 did not change </w:t>
      </w:r>
      <w:r>
        <w:rPr>
          <w:rStyle w:val="ECCParagraph"/>
        </w:rPr>
        <w:t>the standing a</w:t>
      </w:r>
      <w:r w:rsidRPr="00A03466">
        <w:rPr>
          <w:rStyle w:val="ECCParagraph"/>
        </w:rPr>
        <w:t xml:space="preserve">genda item </w:t>
      </w:r>
      <w:r w:rsidR="00B3040D" w:rsidRPr="00A03466">
        <w:rPr>
          <w:rStyle w:val="ECCParagraph"/>
        </w:rPr>
        <w:t>7,</w:t>
      </w:r>
      <w:r>
        <w:rPr>
          <w:rStyle w:val="ECCParagraph"/>
        </w:rPr>
        <w:t xml:space="preserve"> but</w:t>
      </w:r>
      <w:r w:rsidRPr="00A03466">
        <w:rPr>
          <w:rStyle w:val="ECCParagraph"/>
        </w:rPr>
        <w:t xml:space="preserve"> the ITU-R meeting conditions changed </w:t>
      </w:r>
      <w:r>
        <w:rPr>
          <w:rStyle w:val="ECCParagraph"/>
        </w:rPr>
        <w:t>when</w:t>
      </w:r>
      <w:r w:rsidRPr="00A03466">
        <w:rPr>
          <w:rStyle w:val="ECCParagraph"/>
        </w:rPr>
        <w:t xml:space="preserve"> the Special Committee </w:t>
      </w:r>
      <w:r>
        <w:rPr>
          <w:rStyle w:val="ECCParagraph"/>
        </w:rPr>
        <w:t>was</w:t>
      </w:r>
      <w:r w:rsidRPr="00A03466">
        <w:rPr>
          <w:rStyle w:val="ECCParagraph"/>
        </w:rPr>
        <w:t xml:space="preserve"> suppressed and the WP 4A</w:t>
      </w:r>
      <w:r w:rsidR="00B15CF3">
        <w:rPr>
          <w:rStyle w:val="ECCParagraph"/>
        </w:rPr>
        <w:t xml:space="preserve"> was given the responsibility for AI 7</w:t>
      </w:r>
      <w:r w:rsidRPr="00A03466">
        <w:rPr>
          <w:rStyle w:val="ECCParagraph"/>
        </w:rPr>
        <w:t xml:space="preserve">. </w:t>
      </w:r>
    </w:p>
    <w:p w14:paraId="3F78E3F0" w14:textId="77777777" w:rsidR="0069108A" w:rsidRDefault="0069108A" w:rsidP="0069108A">
      <w:pPr>
        <w:rPr>
          <w:rStyle w:val="ECCParagraph"/>
        </w:rPr>
      </w:pPr>
      <w:r w:rsidRPr="00A03466">
        <w:rPr>
          <w:rStyle w:val="ECCParagraph"/>
        </w:rPr>
        <w:t>WRC-1</w:t>
      </w:r>
      <w:r>
        <w:rPr>
          <w:rStyle w:val="ECCParagraph"/>
        </w:rPr>
        <w:t>9</w:t>
      </w:r>
      <w:r w:rsidRPr="00A03466">
        <w:rPr>
          <w:rStyle w:val="ECCParagraph"/>
        </w:rPr>
        <w:t xml:space="preserve"> did</w:t>
      </w:r>
      <w:r>
        <w:rPr>
          <w:rStyle w:val="ECCParagraph"/>
        </w:rPr>
        <w:t xml:space="preserve"> </w:t>
      </w:r>
      <w:r w:rsidRPr="00A03466">
        <w:rPr>
          <w:rStyle w:val="ECCParagraph"/>
        </w:rPr>
        <w:t>n</w:t>
      </w:r>
      <w:r>
        <w:rPr>
          <w:rStyle w:val="ECCParagraph"/>
        </w:rPr>
        <w:t>o</w:t>
      </w:r>
      <w:r w:rsidRPr="00A03466">
        <w:rPr>
          <w:rStyle w:val="ECCParagraph"/>
        </w:rPr>
        <w:t xml:space="preserve">t change </w:t>
      </w:r>
      <w:r>
        <w:rPr>
          <w:rStyle w:val="ECCParagraph"/>
        </w:rPr>
        <w:t>a</w:t>
      </w:r>
      <w:r w:rsidRPr="00A03466">
        <w:rPr>
          <w:rStyle w:val="ECCParagraph"/>
        </w:rPr>
        <w:t>genda item 7</w:t>
      </w:r>
      <w:r>
        <w:rPr>
          <w:rStyle w:val="ECCParagraph"/>
        </w:rPr>
        <w:t xml:space="preserve"> either, but</w:t>
      </w:r>
      <w:r w:rsidRPr="00A03466">
        <w:rPr>
          <w:rStyle w:val="ECCParagraph"/>
        </w:rPr>
        <w:t xml:space="preserve"> </w:t>
      </w:r>
      <w:r>
        <w:rPr>
          <w:rStyle w:val="ECCParagraph"/>
        </w:rPr>
        <w:t>the procedural timelines has been clarified in Resolution ITU-R 2-8 by the Radio assembly 2019 as per “</w:t>
      </w:r>
      <w:r w:rsidRPr="00304105">
        <w:t xml:space="preserve">Responsible groups are encouraged to identify new topics for study to be considered under the standing agenda item in accordance with Resolution </w:t>
      </w:r>
      <w:r w:rsidRPr="00BC4D01">
        <w:rPr>
          <w:rStyle w:val="ECCHLbold"/>
        </w:rPr>
        <w:t>86 (Rev.WRC-07)</w:t>
      </w:r>
      <w:r w:rsidRPr="00304105">
        <w:t xml:space="preserve"> (currently agenda item 7) not later than their penultimate meeting prior to the second session of the CPM in order to provide the ITU Members sufficient time to prepare contributions for the second session.</w:t>
      </w:r>
      <w:r>
        <w:t>” (</w:t>
      </w:r>
      <w:r w:rsidRPr="00304105">
        <w:t>A1.2.6 of Res 2-8</w:t>
      </w:r>
      <w:r>
        <w:t>).</w:t>
      </w:r>
    </w:p>
    <w:p w14:paraId="1BCD39F1" w14:textId="77777777" w:rsidR="0069108A" w:rsidRPr="0069108A" w:rsidRDefault="0069108A" w:rsidP="0069108A">
      <w:pPr>
        <w:pStyle w:val="Titre1"/>
      </w:pPr>
      <w:r w:rsidRPr="0069108A">
        <w:t>List of relevant documents</w:t>
      </w:r>
    </w:p>
    <w:p w14:paraId="2B349E88" w14:textId="77777777" w:rsidR="0069108A" w:rsidRPr="00045AD0" w:rsidRDefault="0069108A" w:rsidP="0069108A">
      <w:pPr>
        <w:pStyle w:val="ECCBreak"/>
        <w:rPr>
          <w:rStyle w:val="ECCParagraph"/>
          <w:lang w:val="fr-FR"/>
        </w:rPr>
      </w:pPr>
      <w:r w:rsidRPr="00045AD0">
        <w:rPr>
          <w:rStyle w:val="ECCParagraph"/>
          <w:lang w:val="fr-FR"/>
        </w:rPr>
        <w:t>ITU-Documentation (</w:t>
      </w:r>
      <w:proofErr w:type="spellStart"/>
      <w:r w:rsidRPr="00045AD0">
        <w:rPr>
          <w:rStyle w:val="ECCParagraph"/>
          <w:lang w:val="fr-FR"/>
        </w:rPr>
        <w:t>Recommendations</w:t>
      </w:r>
      <w:proofErr w:type="spellEnd"/>
      <w:r w:rsidRPr="00045AD0">
        <w:rPr>
          <w:rStyle w:val="ECCParagraph"/>
          <w:lang w:val="fr-FR"/>
        </w:rPr>
        <w:t xml:space="preserve">, Reports, </w:t>
      </w:r>
      <w:proofErr w:type="spellStart"/>
      <w:r w:rsidRPr="00045AD0">
        <w:rPr>
          <w:rStyle w:val="ECCParagraph"/>
          <w:lang w:val="fr-FR"/>
        </w:rPr>
        <w:t>other</w:t>
      </w:r>
      <w:proofErr w:type="spellEnd"/>
      <w:r w:rsidRPr="00045AD0">
        <w:rPr>
          <w:rStyle w:val="ECCParagraph"/>
          <w:lang w:val="fr-FR"/>
        </w:rPr>
        <w:t>)</w:t>
      </w:r>
    </w:p>
    <w:p w14:paraId="1CB281ED" w14:textId="77777777" w:rsidR="0069108A" w:rsidRPr="0069108A" w:rsidRDefault="002208C7" w:rsidP="0069108A">
      <w:pPr>
        <w:pStyle w:val="ECCBulletsLv1"/>
        <w:rPr>
          <w:rStyle w:val="ECCParagraph"/>
        </w:rPr>
      </w:pPr>
      <w:hyperlink r:id="rId8" w:history="1">
        <w:r w:rsidR="0069108A" w:rsidRPr="0069108A">
          <w:rPr>
            <w:rStyle w:val="Lienhypertexte"/>
          </w:rPr>
          <w:t>Resolution 86 (WRC-07)</w:t>
        </w:r>
      </w:hyperlink>
    </w:p>
    <w:p w14:paraId="0FBCF167" w14:textId="46F73667" w:rsidR="00824541" w:rsidRPr="00824541" w:rsidRDefault="002208C7" w:rsidP="00824541">
      <w:pPr>
        <w:pStyle w:val="ECCBulletsLv1"/>
      </w:pPr>
      <w:hyperlink r:id="rId9" w:history="1">
        <w:r w:rsidR="00EA7938" w:rsidRPr="007A5F67">
          <w:rPr>
            <w:rStyle w:val="Lienhypertexte"/>
          </w:rPr>
          <w:t>4A/691</w:t>
        </w:r>
      </w:hyperlink>
      <w:r w:rsidR="00824541" w:rsidRPr="00824541">
        <w:t xml:space="preserve">- Chairman’s Report of the </w:t>
      </w:r>
      <w:r w:rsidR="00EA7938">
        <w:t>6st</w:t>
      </w:r>
      <w:r w:rsidR="00EA7938" w:rsidRPr="00824541">
        <w:t xml:space="preserve"> </w:t>
      </w:r>
      <w:r w:rsidR="00824541" w:rsidRPr="00824541">
        <w:t>WP 4A meeting, Section 4.3</w:t>
      </w:r>
      <w:r w:rsidR="00F579A3">
        <w:t xml:space="preserve"> </w:t>
      </w:r>
    </w:p>
    <w:p w14:paraId="6BF5A512" w14:textId="2EB4436C" w:rsidR="0069108A" w:rsidRDefault="002208C7" w:rsidP="0069108A">
      <w:pPr>
        <w:pStyle w:val="ECCBulletsLv1"/>
        <w:rPr>
          <w:rStyle w:val="ECCParagraph"/>
        </w:rPr>
      </w:pPr>
      <w:hyperlink r:id="rId10" w:history="1">
        <w:r w:rsidR="00A8357B">
          <w:rPr>
            <w:rStyle w:val="Lienhypertexte"/>
          </w:rPr>
          <w:t xml:space="preserve">Annex </w:t>
        </w:r>
        <w:r w:rsidR="00F56C82">
          <w:rPr>
            <w:rStyle w:val="Lienhypertexte"/>
          </w:rPr>
          <w:t>42</w:t>
        </w:r>
        <w:r w:rsidR="00A8357B">
          <w:rPr>
            <w:rStyle w:val="Lienhypertexte"/>
          </w:rPr>
          <w:t xml:space="preserve"> of 4A/</w:t>
        </w:r>
        <w:r w:rsidR="00F56C82">
          <w:rPr>
            <w:rStyle w:val="Lienhypertexte"/>
          </w:rPr>
          <w:t>691</w:t>
        </w:r>
      </w:hyperlink>
      <w:r w:rsidR="0069108A" w:rsidRPr="0069108A">
        <w:rPr>
          <w:rStyle w:val="ECCParagraph"/>
        </w:rPr>
        <w:t xml:space="preserve"> - WP 4A Work Plan on Agenda item 7</w:t>
      </w:r>
    </w:p>
    <w:p w14:paraId="674FC921" w14:textId="100D51AA" w:rsidR="00F579A3" w:rsidRDefault="00F579A3" w:rsidP="0069108A">
      <w:pPr>
        <w:pStyle w:val="ECCBulletsLv1"/>
        <w:rPr>
          <w:rStyle w:val="ECCParagraph"/>
        </w:rPr>
      </w:pPr>
      <w:r>
        <w:t>4A/WG-P/ADM/7 – Final set of WRC-23 Agenda item 7 Topics</w:t>
      </w:r>
    </w:p>
    <w:p w14:paraId="7DFE4182" w14:textId="77777777" w:rsidR="0069108A" w:rsidRDefault="0069108A" w:rsidP="0069108A">
      <w:pPr>
        <w:pStyle w:val="ECCBreak"/>
        <w:rPr>
          <w:rStyle w:val="ECCParagraph"/>
        </w:rPr>
      </w:pPr>
      <w:r w:rsidRPr="00235592">
        <w:rPr>
          <w:rStyle w:val="ECCParagraph"/>
        </w:rPr>
        <w:t>CEPT and/or ECC Documentation (Decisions, Recommendations, Reports)</w:t>
      </w:r>
    </w:p>
    <w:p w14:paraId="1E2416B5" w14:textId="77777777" w:rsidR="0069108A" w:rsidRPr="00235592" w:rsidRDefault="0069108A" w:rsidP="0069108A">
      <w:pPr>
        <w:pStyle w:val="ECCBulletsLv1"/>
        <w:rPr>
          <w:rStyle w:val="ECCParagraph"/>
        </w:rPr>
      </w:pPr>
    </w:p>
    <w:p w14:paraId="6987E89B" w14:textId="77777777" w:rsidR="0069108A" w:rsidRDefault="0069108A" w:rsidP="0069108A">
      <w:pPr>
        <w:pStyle w:val="ECCBreak"/>
        <w:rPr>
          <w:rStyle w:val="ECCParagraph"/>
        </w:rPr>
      </w:pPr>
      <w:r w:rsidRPr="00235592">
        <w:rPr>
          <w:rStyle w:val="ECCParagraph"/>
        </w:rPr>
        <w:t>EU Documentation (Directives, Decisions, Recommendations, other), if applicable</w:t>
      </w:r>
    </w:p>
    <w:p w14:paraId="1DF36DC2" w14:textId="77777777" w:rsidR="0069108A" w:rsidRPr="00235592" w:rsidRDefault="0069108A" w:rsidP="0069108A">
      <w:pPr>
        <w:pStyle w:val="ECCBulletsLv1"/>
        <w:rPr>
          <w:rStyle w:val="ECCParagraph"/>
        </w:rPr>
      </w:pPr>
    </w:p>
    <w:p w14:paraId="1EC67116" w14:textId="77777777" w:rsidR="0069108A" w:rsidRPr="0069108A" w:rsidRDefault="0069108A" w:rsidP="0069108A">
      <w:pPr>
        <w:pStyle w:val="Titre1"/>
      </w:pPr>
      <w:r w:rsidRPr="0069108A">
        <w:t>Actions to be taken</w:t>
      </w:r>
    </w:p>
    <w:p w14:paraId="3DED2904" w14:textId="252F41BE" w:rsidR="0069108A" w:rsidRPr="0069108A" w:rsidRDefault="0069108A" w:rsidP="0069108A">
      <w:pPr>
        <w:pStyle w:val="ECCBulletsLv1"/>
        <w:rPr>
          <w:rStyle w:val="ECCParagraph"/>
        </w:rPr>
      </w:pPr>
      <w:r w:rsidRPr="00622889">
        <w:t xml:space="preserve">Further develop preliminary </w:t>
      </w:r>
      <w:r w:rsidR="00166980">
        <w:t xml:space="preserve">the </w:t>
      </w:r>
      <w:r w:rsidRPr="00622889">
        <w:t xml:space="preserve">CEPT positions and eventually draft European Common Proposals (ECPs) for </w:t>
      </w:r>
      <w:r w:rsidR="00CA5D42">
        <w:t xml:space="preserve">each </w:t>
      </w:r>
      <w:r w:rsidRPr="00622889">
        <w:t xml:space="preserve">Agenda item 7 </w:t>
      </w:r>
      <w:r w:rsidR="0046716D">
        <w:t>Topic</w:t>
      </w:r>
      <w:r w:rsidRPr="00622889">
        <w:t>, as appropriate.</w:t>
      </w:r>
    </w:p>
    <w:p w14:paraId="4E4B57FE" w14:textId="77777777" w:rsidR="0069108A" w:rsidRPr="0069108A" w:rsidRDefault="0069108A" w:rsidP="0069108A">
      <w:pPr>
        <w:pStyle w:val="Titre1"/>
      </w:pPr>
      <w:r w:rsidRPr="0069108A">
        <w:lastRenderedPageBreak/>
        <w:t xml:space="preserve">Relevant information from outside CEPT </w:t>
      </w:r>
    </w:p>
    <w:p w14:paraId="3B7B8770" w14:textId="77777777" w:rsidR="0069108A" w:rsidRPr="0069108A" w:rsidRDefault="0069108A" w:rsidP="0069108A">
      <w:pPr>
        <w:pStyle w:val="Titre2"/>
        <w:rPr>
          <w:rStyle w:val="ECCParagraph"/>
        </w:rPr>
      </w:pPr>
      <w:r w:rsidRPr="001C06BF">
        <w:t>European Union (date of proposal)</w:t>
      </w:r>
    </w:p>
    <w:p w14:paraId="0D079734" w14:textId="77777777" w:rsidR="0069108A" w:rsidRPr="0069108A" w:rsidRDefault="0069108A" w:rsidP="0069108A">
      <w:pPr>
        <w:pStyle w:val="Titre2"/>
      </w:pPr>
      <w:r w:rsidRPr="0069108A">
        <w:t>Regional telecommunication organisations</w:t>
      </w:r>
    </w:p>
    <w:p w14:paraId="77404C40" w14:textId="0851AE6E" w:rsidR="0069108A" w:rsidRDefault="0069108A" w:rsidP="0069108A">
      <w:pPr>
        <w:pStyle w:val="ECCBreak"/>
      </w:pPr>
      <w:r w:rsidRPr="0069108A">
        <w:t>APT (</w:t>
      </w:r>
      <w:r w:rsidR="00B3657D">
        <w:t>November 2022</w:t>
      </w:r>
      <w:r w:rsidRPr="0069108A">
        <w:t>)</w:t>
      </w:r>
    </w:p>
    <w:p w14:paraId="38A9D42A" w14:textId="1BAD9F76" w:rsidR="00B3657D" w:rsidRPr="001C06BF" w:rsidRDefault="00C45FDB" w:rsidP="001C06BF">
      <w:r w:rsidRPr="00C45FDB">
        <w:t>APT Members support consideration of possible changes to improve advance publication, coordination, notification and recording procedures for space services in the Radio Regulations in accordance with Resolution 86 (Rev.WRC-07), provided that such changes do not result in modification of frequency allocations in Article 5 of the Radio Regulations, except for the provisions in the footnotes of the Table of Frequency Allocations in Article 5 relating to advance publication, coordination, notification and recording procedures.</w:t>
      </w:r>
    </w:p>
    <w:p w14:paraId="78BA3373" w14:textId="77777777" w:rsidR="0069108A" w:rsidRPr="00235592" w:rsidRDefault="0069108A" w:rsidP="0069108A">
      <w:pPr>
        <w:pStyle w:val="ECCBreak"/>
        <w:rPr>
          <w:rStyle w:val="ECCParagraph"/>
        </w:rPr>
      </w:pPr>
      <w:r w:rsidRPr="0069108A">
        <w:t>ATU (date of proposal)</w:t>
      </w:r>
    </w:p>
    <w:p w14:paraId="1A54BAE4" w14:textId="77777777" w:rsidR="0069108A" w:rsidRPr="0069108A" w:rsidRDefault="0069108A" w:rsidP="0069108A">
      <w:pPr>
        <w:pStyle w:val="ECCBreak"/>
      </w:pPr>
      <w:r w:rsidRPr="0069108A">
        <w:t>Arab Group (</w:t>
      </w:r>
      <w:r>
        <w:t>July 2020</w:t>
      </w:r>
      <w:r w:rsidRPr="0069108A">
        <w:t>)</w:t>
      </w:r>
    </w:p>
    <w:p w14:paraId="3F9276E6" w14:textId="77777777" w:rsidR="0069108A" w:rsidRPr="0069108A" w:rsidRDefault="0069108A" w:rsidP="0069108A">
      <w:r w:rsidRPr="0069108A">
        <w:t>Inviting ASMG administrations to follow up studies to define any regulatory issues they wish to raise in order to improve the procedures for on advance publication, coordination, notification recording procedures for frequency assignments pertaining to satellite networks.</w:t>
      </w:r>
    </w:p>
    <w:p w14:paraId="70E826A0" w14:textId="77777777" w:rsidR="0069108A" w:rsidRPr="00235592" w:rsidRDefault="0069108A" w:rsidP="0069108A">
      <w:pPr>
        <w:pStyle w:val="ECCBreak"/>
        <w:rPr>
          <w:rStyle w:val="ECCParagraph"/>
        </w:rPr>
      </w:pPr>
      <w:r w:rsidRPr="001C06BF">
        <w:t>CITEL (date of proposal)</w:t>
      </w:r>
    </w:p>
    <w:p w14:paraId="7CAAC531" w14:textId="548B54FC" w:rsidR="00AF4946" w:rsidRPr="001C06BF" w:rsidRDefault="00AF4946" w:rsidP="00AF4946">
      <w:pPr>
        <w:pStyle w:val="ECCBreak"/>
      </w:pPr>
      <w:r w:rsidRPr="001C06BF">
        <w:t>RCC (</w:t>
      </w:r>
      <w:r w:rsidR="00873A1B">
        <w:t>June 2022</w:t>
      </w:r>
      <w:r w:rsidRPr="001C06BF">
        <w:t>)</w:t>
      </w:r>
    </w:p>
    <w:p w14:paraId="564BEF0A" w14:textId="43E5139C" w:rsidR="0069108A" w:rsidRPr="00CA3FE6" w:rsidRDefault="0069108A" w:rsidP="0069108A">
      <w:r w:rsidRPr="00CA3FE6">
        <w:t xml:space="preserve">The RCC </w:t>
      </w:r>
      <w:r w:rsidR="00AB43FB" w:rsidRPr="00AB43FB">
        <w:t xml:space="preserve">Telecommunication </w:t>
      </w:r>
      <w:r w:rsidRPr="00CA3FE6">
        <w:t xml:space="preserve">Administrations consider it necessary to further improve the </w:t>
      </w:r>
      <w:r w:rsidR="001650A7" w:rsidRPr="001650A7">
        <w:t xml:space="preserve">procedures for </w:t>
      </w:r>
      <w:r w:rsidRPr="00CA3FE6">
        <w:t>notification, coordination and recording procedures for frequency assignments to satellite networks in different services ensur</w:t>
      </w:r>
      <w:r w:rsidR="00592C39">
        <w:t>ing</w:t>
      </w:r>
      <w:r w:rsidRPr="00CA3FE6">
        <w:t xml:space="preserve"> equitable access to orbital and frequency resource</w:t>
      </w:r>
      <w:r w:rsidR="00592C39" w:rsidRPr="00592C39">
        <w:t xml:space="preserve"> </w:t>
      </w:r>
      <w:r w:rsidR="00592C39">
        <w:t>for</w:t>
      </w:r>
      <w:r w:rsidR="00592C39" w:rsidRPr="00CA3FE6">
        <w:t xml:space="preserve"> ITU Member States</w:t>
      </w:r>
      <w:r w:rsidRPr="00CA3FE6">
        <w:t>.</w:t>
      </w:r>
    </w:p>
    <w:p w14:paraId="3A1E48B8" w14:textId="77777777" w:rsidR="0069108A" w:rsidRPr="0069108A" w:rsidRDefault="0069108A" w:rsidP="0069108A">
      <w:pPr>
        <w:pStyle w:val="Titre2"/>
      </w:pPr>
      <w:r w:rsidRPr="0069108A">
        <w:t>International organisations</w:t>
      </w:r>
    </w:p>
    <w:p w14:paraId="2553AA4B" w14:textId="76CE5A6B" w:rsidR="0069108A" w:rsidRPr="0069108A" w:rsidRDefault="0069108A" w:rsidP="0069108A">
      <w:pPr>
        <w:pStyle w:val="ECCBreak"/>
      </w:pPr>
      <w:r w:rsidRPr="0069108A">
        <w:t>SFCG (</w:t>
      </w:r>
      <w:r w:rsidR="00DB5E45">
        <w:t xml:space="preserve">September </w:t>
      </w:r>
      <w:r>
        <w:t>202</w:t>
      </w:r>
      <w:r w:rsidR="00DB5E45">
        <w:t>1</w:t>
      </w:r>
      <w:r w:rsidRPr="0069108A">
        <w:t>)</w:t>
      </w:r>
    </w:p>
    <w:p w14:paraId="15B8D258" w14:textId="656FBD52" w:rsidR="0069108A" w:rsidRPr="000B2F4F" w:rsidRDefault="0069108A" w:rsidP="0069108A">
      <w:r w:rsidRPr="000B2F4F">
        <w:t xml:space="preserve">SFCG supports possible changes to the Radio Regulations to improve the handling of the advance publication, coordination, notification, and recording procedures for satellite networks. SFCG </w:t>
      </w:r>
      <w:r w:rsidR="00BA7BDA">
        <w:t>is</w:t>
      </w:r>
      <w:r w:rsidR="00BA7BDA" w:rsidRPr="000B2F4F">
        <w:t xml:space="preserve"> </w:t>
      </w:r>
      <w:r w:rsidRPr="000B2F4F">
        <w:t>monitor</w:t>
      </w:r>
      <w:r w:rsidR="00BA7BDA">
        <w:t>ing</w:t>
      </w:r>
      <w:r w:rsidRPr="000B2F4F">
        <w:t xml:space="preserve"> all the issues covered under this agenda item to ensure that any possible change will not adversely impact space science services.</w:t>
      </w:r>
    </w:p>
    <w:p w14:paraId="6E6A3E4D" w14:textId="1BA5C006" w:rsidR="0069108A" w:rsidRPr="001C06BF" w:rsidRDefault="0069108A" w:rsidP="0069108A">
      <w:pPr>
        <w:pStyle w:val="ECCBreak"/>
      </w:pPr>
      <w:r w:rsidRPr="001C06BF">
        <w:t>WMO and EUMETNET (</w:t>
      </w:r>
      <w:r w:rsidR="00D8484F" w:rsidRPr="001C06BF">
        <w:t xml:space="preserve">March </w:t>
      </w:r>
      <w:r w:rsidRPr="001C06BF">
        <w:t>202</w:t>
      </w:r>
      <w:r w:rsidR="00D8484F" w:rsidRPr="001C06BF">
        <w:t>1</w:t>
      </w:r>
      <w:r w:rsidRPr="001C06BF">
        <w:t>)</w:t>
      </w:r>
    </w:p>
    <w:p w14:paraId="7CE502FC" w14:textId="71B415F1" w:rsidR="0069108A" w:rsidRPr="000B2F4F" w:rsidRDefault="0069108A" w:rsidP="0069108A">
      <w:r w:rsidRPr="000B2F4F">
        <w:t xml:space="preserve">WMO does not support changes to the Radio Regulations that would impose unnecessary constraints on </w:t>
      </w:r>
      <w:r w:rsidR="00B3040D" w:rsidRPr="000B2F4F">
        <w:t>Met Sat</w:t>
      </w:r>
      <w:r w:rsidRPr="000B2F4F">
        <w:t xml:space="preserve"> and EESS systems</w:t>
      </w:r>
      <w:r w:rsidR="00D8484F">
        <w:t xml:space="preserve"> </w:t>
      </w:r>
      <w:r w:rsidR="00D8484F" w:rsidRPr="00D8484F">
        <w:t>or that would overcomplicate the regulatory procedures for the corresponding ITU filings for the frequency bands that are used by these systems</w:t>
      </w:r>
      <w:r w:rsidRPr="000B2F4F">
        <w:t>. WMO will follow the development of Agenda Item 7 issues as they are identified and studied.</w:t>
      </w:r>
    </w:p>
    <w:p w14:paraId="78B076DA" w14:textId="65A60EEC" w:rsidR="0069108A" w:rsidRPr="0069108A" w:rsidRDefault="00756DD0" w:rsidP="0069108A">
      <w:pPr>
        <w:pStyle w:val="Titre2"/>
      </w:pPr>
      <w:r>
        <w:t>other</w:t>
      </w:r>
      <w:r w:rsidRPr="00405CB6">
        <w:t xml:space="preserve"> </w:t>
      </w:r>
      <w:r w:rsidR="0069108A" w:rsidRPr="00405CB6">
        <w:t>organisations</w:t>
      </w:r>
    </w:p>
    <w:p w14:paraId="24CC8C66" w14:textId="77777777" w:rsidR="0069108A" w:rsidRDefault="0069108A" w:rsidP="0069108A">
      <w:pPr>
        <w:pStyle w:val="ECCBreak"/>
      </w:pPr>
      <w:r w:rsidRPr="0069108A">
        <w:t>ESA (</w:t>
      </w:r>
      <w:r>
        <w:t>October 2020</w:t>
      </w:r>
      <w:r w:rsidRPr="0069108A">
        <w:t>)</w:t>
      </w:r>
    </w:p>
    <w:p w14:paraId="5632DAA1" w14:textId="77777777" w:rsidR="0069108A" w:rsidRPr="00841E91" w:rsidRDefault="0069108A" w:rsidP="0069108A">
      <w:r>
        <w:lastRenderedPageBreak/>
        <w:t xml:space="preserve">ESA supports the SCFG position on this WRC-23 agenda item. </w:t>
      </w:r>
    </w:p>
    <w:p w14:paraId="3C8F1734" w14:textId="67D7776B" w:rsidR="0069108A" w:rsidRPr="0069108A" w:rsidRDefault="004D6C9E" w:rsidP="00B275B0">
      <w:pPr>
        <w:pStyle w:val="ECCAnnexheading1"/>
        <w:outlineLvl w:val="0"/>
        <w:rPr>
          <w:rStyle w:val="ECCParagraph"/>
        </w:rPr>
      </w:pPr>
      <w:r w:rsidRPr="001C06BF">
        <w:lastRenderedPageBreak/>
        <w:t xml:space="preserve">TOpic A: </w:t>
      </w:r>
      <w:r w:rsidR="0069108A" w:rsidRPr="001C06BF">
        <w:t>Tolerances for non-GSO orbital characteristics</w:t>
      </w:r>
      <w:r w:rsidR="0069108A" w:rsidRPr="0069108A">
        <w:rPr>
          <w:rStyle w:val="ECCParagraph"/>
        </w:rPr>
        <w:t xml:space="preserve"> </w:t>
      </w:r>
    </w:p>
    <w:p w14:paraId="5879EC8C" w14:textId="07E72343" w:rsidR="0069108A" w:rsidRPr="0069108A" w:rsidRDefault="0069108A" w:rsidP="00AC28C1">
      <w:pPr>
        <w:pStyle w:val="Titre1"/>
        <w:numPr>
          <w:ilvl w:val="0"/>
          <w:numId w:val="8"/>
        </w:numPr>
      </w:pPr>
      <w:bookmarkStart w:id="2" w:name="_ISSUE"/>
      <w:bookmarkEnd w:id="2"/>
      <w:r w:rsidRPr="00887F2B">
        <w:t>ISSUE</w:t>
      </w:r>
    </w:p>
    <w:p w14:paraId="58749BB6" w14:textId="77777777" w:rsidR="0069108A" w:rsidRDefault="0069108A" w:rsidP="0069108A">
      <w:r w:rsidRPr="004A274A">
        <w:t xml:space="preserve">to study tolerances for certain orbital characteristics of non-GSO space stations of the </w:t>
      </w:r>
      <w:r>
        <w:t>FSS</w:t>
      </w:r>
      <w:r w:rsidRPr="004A274A">
        <w:t xml:space="preserve">, </w:t>
      </w:r>
      <w:r>
        <w:t>MSS</w:t>
      </w:r>
      <w:r w:rsidRPr="004A274A">
        <w:t xml:space="preserve"> or </w:t>
      </w:r>
      <w:r>
        <w:t>BSS</w:t>
      </w:r>
      <w:r w:rsidRPr="004A274A">
        <w:t xml:space="preserve"> to account for potential differences between the notified and deployed orbital characteristics for</w:t>
      </w:r>
      <w:r>
        <w:t>:</w:t>
      </w:r>
      <w:r w:rsidRPr="004A274A">
        <w:t xml:space="preserve"> </w:t>
      </w:r>
    </w:p>
    <w:p w14:paraId="0C8681B1" w14:textId="77777777" w:rsidR="0069108A" w:rsidRPr="0069108A" w:rsidRDefault="0069108A" w:rsidP="0069108A">
      <w:pPr>
        <w:pStyle w:val="ECCBulletsLv1"/>
      </w:pPr>
      <w:r w:rsidRPr="004A274A">
        <w:t>the inclination of the</w:t>
      </w:r>
      <w:r w:rsidRPr="0069108A">
        <w:t xml:space="preserve"> orbital plane, </w:t>
      </w:r>
    </w:p>
    <w:p w14:paraId="1F2A1E59" w14:textId="24C1CCFD" w:rsidR="0069108A" w:rsidRPr="0069108A" w:rsidRDefault="0069108A" w:rsidP="0069108A">
      <w:pPr>
        <w:pStyle w:val="ECCBulletsLv1"/>
      </w:pPr>
      <w:r w:rsidRPr="004A274A">
        <w:t xml:space="preserve">the altitude of the apogee </w:t>
      </w:r>
      <w:r w:rsidR="004320E1">
        <w:t xml:space="preserve">of the </w:t>
      </w:r>
      <w:r w:rsidR="00910E38">
        <w:t xml:space="preserve">orbit </w:t>
      </w:r>
      <w:r w:rsidRPr="004A274A">
        <w:t xml:space="preserve">of the space station, </w:t>
      </w:r>
    </w:p>
    <w:p w14:paraId="2DDAF4E8" w14:textId="2807094C" w:rsidR="0069108A" w:rsidRPr="0069108A" w:rsidRDefault="0069108A" w:rsidP="0069108A">
      <w:pPr>
        <w:pStyle w:val="ECCBulletsLv1"/>
      </w:pPr>
      <w:r w:rsidRPr="004A274A">
        <w:t xml:space="preserve">the altitude of the perigee </w:t>
      </w:r>
      <w:r w:rsidR="00910E38">
        <w:t xml:space="preserve">of the orbit </w:t>
      </w:r>
      <w:r w:rsidRPr="004A274A">
        <w:t>of the space station</w:t>
      </w:r>
      <w:r w:rsidRPr="0069108A">
        <w:t xml:space="preserve">, and </w:t>
      </w:r>
    </w:p>
    <w:p w14:paraId="43F22114" w14:textId="263E5F96" w:rsidR="0069108A" w:rsidRPr="0069108A" w:rsidRDefault="0069108A" w:rsidP="0069108A">
      <w:pPr>
        <w:pStyle w:val="ECCBulletsLv1"/>
        <w:rPr>
          <w:rStyle w:val="ECCParagraph"/>
        </w:rPr>
      </w:pPr>
      <w:r w:rsidRPr="004A274A">
        <w:t>the argument of the perigee of the orbit</w:t>
      </w:r>
      <w:r w:rsidR="00F74931">
        <w:t xml:space="preserve"> of the space station</w:t>
      </w:r>
      <w:r w:rsidRPr="0069108A">
        <w:t>.</w:t>
      </w:r>
    </w:p>
    <w:p w14:paraId="3AEBC9F8" w14:textId="77777777" w:rsidR="0069108A" w:rsidRPr="0069108A" w:rsidRDefault="0069108A" w:rsidP="0069108A">
      <w:pPr>
        <w:pStyle w:val="Titre1"/>
        <w:rPr>
          <w:rStyle w:val="ECCParagraph"/>
        </w:rPr>
      </w:pPr>
      <w:r w:rsidRPr="00887F2B">
        <w:t xml:space="preserve">Preliminary CEPT position </w:t>
      </w:r>
    </w:p>
    <w:p w14:paraId="02AFF06F" w14:textId="77777777" w:rsidR="0069108A" w:rsidRPr="0069108A" w:rsidRDefault="0069108A" w:rsidP="0069108A">
      <w:pPr>
        <w:pStyle w:val="ECCBulletsLv1"/>
        <w:rPr>
          <w:rStyle w:val="ECCHLyellow"/>
        </w:rPr>
      </w:pPr>
      <w:r w:rsidRPr="002E2D84">
        <w:rPr>
          <w:rStyle w:val="ECCParagraph"/>
        </w:rPr>
        <w:t xml:space="preserve">CEPT </w:t>
      </w:r>
      <w:r w:rsidRPr="0069108A">
        <w:t xml:space="preserve">supports the development of the definition of tolerances limited to the four orbital characteristics of non-GSO space stations in FSS, BSS and MSS </w:t>
      </w:r>
      <w:r w:rsidRPr="0069108A">
        <w:rPr>
          <w:rStyle w:val="ECCParagraph"/>
        </w:rPr>
        <w:t>identifying a “notified orbital plane”.</w:t>
      </w:r>
      <w:r w:rsidRPr="0069108A">
        <w:rPr>
          <w:rStyle w:val="ECCHLyellow"/>
        </w:rPr>
        <w:t xml:space="preserve"> </w:t>
      </w:r>
    </w:p>
    <w:p w14:paraId="32A794C9" w14:textId="77777777" w:rsidR="0069108A" w:rsidRPr="0069108A" w:rsidRDefault="0069108A" w:rsidP="0069108A">
      <w:pPr>
        <w:pStyle w:val="ECCBulletsLv1"/>
        <w:rPr>
          <w:rStyle w:val="ECCHLyellow"/>
        </w:rPr>
      </w:pPr>
      <w:r w:rsidRPr="002E2D84">
        <w:t>CEPT does</w:t>
      </w:r>
      <w:r w:rsidRPr="0069108A">
        <w:t xml:space="preserve"> not support the development of tolerances under this topic for the orbital characteristics of non-GSO space stations whose frequency assignments belong to services other than the FSS, BSS and MSS. </w:t>
      </w:r>
    </w:p>
    <w:p w14:paraId="102378AF" w14:textId="18C83AF7" w:rsidR="000C3684" w:rsidRDefault="000C3684" w:rsidP="0069108A">
      <w:pPr>
        <w:pStyle w:val="ECCBulletsLv1"/>
      </w:pPr>
      <w:r w:rsidRPr="000C3684">
        <w:t xml:space="preserve">CEPT supports the development of these tolerances in the context of </w:t>
      </w:r>
      <w:r w:rsidR="004D7263">
        <w:t>I</w:t>
      </w:r>
      <w:r w:rsidR="00AD7E9E">
        <w:t xml:space="preserve">TU </w:t>
      </w:r>
      <w:r w:rsidR="004D7263">
        <w:t xml:space="preserve">regulatory </w:t>
      </w:r>
      <w:r w:rsidR="00AD7E9E">
        <w:t xml:space="preserve">procedures such as </w:t>
      </w:r>
      <w:r w:rsidRPr="000C3684">
        <w:t xml:space="preserve">BIU and the milestone-based approach. In the absence of such </w:t>
      </w:r>
      <w:r w:rsidR="00B3040D" w:rsidRPr="000C3684">
        <w:t>tolerances,</w:t>
      </w:r>
      <w:r w:rsidRPr="000C3684">
        <w:t xml:space="preserve"> it is unclear whether the requirements of Resolution </w:t>
      </w:r>
      <w:r w:rsidRPr="00B04D1A">
        <w:rPr>
          <w:rStyle w:val="ECCHLbold"/>
        </w:rPr>
        <w:t>35 (WRC-19)</w:t>
      </w:r>
      <w:r w:rsidRPr="000C3684">
        <w:t xml:space="preserve"> are met.</w:t>
      </w:r>
    </w:p>
    <w:p w14:paraId="6203C148" w14:textId="32A8C893" w:rsidR="0069108A" w:rsidRPr="0069108A" w:rsidRDefault="0069108A" w:rsidP="0069108A">
      <w:pPr>
        <w:pStyle w:val="ECCBulletsLv1"/>
      </w:pPr>
      <w:r w:rsidRPr="002E2D84">
        <w:t>To avoid collision with another non-GSO space station or to permit reorgani</w:t>
      </w:r>
      <w:r w:rsidRPr="0069108A">
        <w:t>sation of satellites in an orbit-plane after a launch of new non-GSO space stations, CEPT supports specific regulatory measures to temporary exceed the defined tolerances if final tolerances definition could not address such operational requirements.</w:t>
      </w:r>
    </w:p>
    <w:p w14:paraId="53C18C72" w14:textId="620F0FE4" w:rsidR="006F193C" w:rsidRPr="00D35DAB" w:rsidRDefault="0069108A" w:rsidP="00D35DAB">
      <w:pPr>
        <w:pStyle w:val="ECCBulletsLv1"/>
        <w:rPr>
          <w:rStyle w:val="ECCHLyellow"/>
          <w:shd w:val="clear" w:color="auto" w:fill="auto"/>
        </w:rPr>
      </w:pPr>
      <w:r w:rsidRPr="002E2D84">
        <w:t>CEPT supports the development of appropriate regulatory consequences for frequency assignments to non-GSO space stations that do not maintain these to-be-developed orbital tolerances</w:t>
      </w:r>
      <w:r w:rsidRPr="0069108A">
        <w:t>.</w:t>
      </w:r>
    </w:p>
    <w:p w14:paraId="1724E45B" w14:textId="13B5DC56" w:rsidR="00D35DAB" w:rsidRPr="007903AF" w:rsidRDefault="00D35DAB" w:rsidP="006F193C">
      <w:pPr>
        <w:pStyle w:val="ECCBulletsLv1"/>
        <w:rPr>
          <w:rStyle w:val="ECCHLyellow"/>
        </w:rPr>
      </w:pPr>
      <w:r w:rsidRPr="00D35DAB">
        <w:rPr>
          <w:rStyle w:val="ECCHLyellow"/>
        </w:rPr>
        <w:t xml:space="preserve">CEPT supports the adoption of Method A3 of the CPM text. National administrations already have the mandate, expertise, and responsibility to ensure that specific orbital tolerances are respected. The authority to determine, authorize and supervise orbital tolerances should continue to lie with the national administrations. Moreover, Method A3 allows administrations to </w:t>
      </w:r>
      <w:proofErr w:type="gramStart"/>
      <w:r w:rsidRPr="00D35DAB">
        <w:rPr>
          <w:rStyle w:val="ECCHLyellow"/>
        </w:rPr>
        <w:t>take into account</w:t>
      </w:r>
      <w:proofErr w:type="gramEnd"/>
      <w:r w:rsidRPr="00D35DAB">
        <w:rPr>
          <w:rStyle w:val="ECCHLyellow"/>
        </w:rPr>
        <w:t xml:space="preserve"> relevant factors, such as the design of satellite systems, impact of drag and altitude, as well the solar cycle, when determining orbital tolerances</w:t>
      </w:r>
    </w:p>
    <w:p w14:paraId="2F032175" w14:textId="77777777" w:rsidR="0069108A" w:rsidRPr="0069108A" w:rsidRDefault="0069108A" w:rsidP="0069108A">
      <w:pPr>
        <w:pStyle w:val="Titre1"/>
      </w:pPr>
      <w:r w:rsidRPr="00887F2B">
        <w:t xml:space="preserve">Background </w:t>
      </w:r>
    </w:p>
    <w:p w14:paraId="2627444C" w14:textId="77777777" w:rsidR="0069108A" w:rsidRPr="007616FB" w:rsidRDefault="0069108A" w:rsidP="0069108A">
      <w:r w:rsidRPr="00D01BF9">
        <w:t xml:space="preserve">Issue A </w:t>
      </w:r>
      <w:r>
        <w:t>of Agenda item 7 at WRC-19 considered b</w:t>
      </w:r>
      <w:r w:rsidRPr="00D01BF9">
        <w:t xml:space="preserve">ringing into use </w:t>
      </w:r>
      <w:r>
        <w:t xml:space="preserve">(BIU) </w:t>
      </w:r>
      <w:r w:rsidRPr="00D01BF9">
        <w:t>of frequency assignments to all non-GSO systems, a</w:t>
      </w:r>
      <w:r>
        <w:t xml:space="preserve">s well as </w:t>
      </w:r>
      <w:r w:rsidRPr="00D01BF9">
        <w:t xml:space="preserve">a milestone-based approach for </w:t>
      </w:r>
      <w:r>
        <w:t xml:space="preserve">the </w:t>
      </w:r>
      <w:r w:rsidRPr="00D01BF9">
        <w:t xml:space="preserve">deployment </w:t>
      </w:r>
      <w:r>
        <w:t xml:space="preserve">of </w:t>
      </w:r>
      <w:r w:rsidRPr="00D01BF9">
        <w:t xml:space="preserve">non-GSO systems in specific </w:t>
      </w:r>
      <w:r>
        <w:t xml:space="preserve">frequency </w:t>
      </w:r>
      <w:r w:rsidRPr="00D01BF9">
        <w:t>bands and services</w:t>
      </w:r>
      <w:r>
        <w:t xml:space="preserve">. When deciding upon this issue, </w:t>
      </w:r>
      <w:r w:rsidRPr="007616FB">
        <w:t>adopt</w:t>
      </w:r>
      <w:r>
        <w:t>ing</w:t>
      </w:r>
      <w:r w:rsidRPr="007616FB">
        <w:t xml:space="preserve"> a new milestone-based approach for the deployment of non-</w:t>
      </w:r>
      <w:r>
        <w:t>GSO</w:t>
      </w:r>
      <w:r w:rsidRPr="007616FB">
        <w:t xml:space="preserve"> satellite systems</w:t>
      </w:r>
      <w:r>
        <w:t xml:space="preserve"> in Resolution </w:t>
      </w:r>
      <w:r w:rsidRPr="00BC4D01">
        <w:rPr>
          <w:rStyle w:val="ECCHLbold"/>
        </w:rPr>
        <w:t>35 (WRC-19)</w:t>
      </w:r>
      <w:r>
        <w:t>, WRC-19 in its 10</w:t>
      </w:r>
      <w:r w:rsidRPr="0069108A">
        <w:t>th</w:t>
      </w:r>
      <w:r>
        <w:t xml:space="preserve"> Plenary also approved that “</w:t>
      </w:r>
      <w:r w:rsidRPr="00837B0B">
        <w:t>ITU-R to study, as a matter of urgency, tolerances for certain orbital characteristics of non-GSO space stations of the fixed-satellite, mobile-satellite or broadcasting satellite services to account for potential differences between the notified and deployed orbital characteristics for the inclination of the orbital plane, the altitude of the apogee of the space station, the altitude of the perigee of the space station and the argument of the perigee of the orbital plane.</w:t>
      </w:r>
      <w:r>
        <w:t>”</w:t>
      </w:r>
    </w:p>
    <w:p w14:paraId="4B73D354" w14:textId="04D8CC89" w:rsidR="0069108A" w:rsidRDefault="0069108A" w:rsidP="0069108A">
      <w:r w:rsidRPr="009002C8">
        <w:t>The first WP</w:t>
      </w:r>
      <w:r>
        <w:t xml:space="preserve"> </w:t>
      </w:r>
      <w:r w:rsidRPr="009002C8">
        <w:t xml:space="preserve">4A meeting in May 2020 </w:t>
      </w:r>
      <w:r>
        <w:t xml:space="preserve">therefore captured this task just as adopted by WRC-19 as Task 1 of CG#5 on Regulatory Issues when establishing CGs in order to advance the work </w:t>
      </w:r>
      <w:r w:rsidRPr="004A274A">
        <w:t>in the period between the virtual meeting</w:t>
      </w:r>
      <w:r>
        <w:t>s</w:t>
      </w:r>
      <w:r w:rsidRPr="004A274A">
        <w:t xml:space="preserve"> of WP 4A in 2020 and </w:t>
      </w:r>
      <w:r>
        <w:t>202</w:t>
      </w:r>
      <w:r w:rsidR="008E5AE0">
        <w:t>1</w:t>
      </w:r>
      <w:r>
        <w:t xml:space="preserve">. </w:t>
      </w:r>
    </w:p>
    <w:p w14:paraId="615975F0" w14:textId="0743C5CD" w:rsidR="00F520DB" w:rsidRDefault="0069108A" w:rsidP="0069108A">
      <w:r>
        <w:t xml:space="preserve">Input contributions on </w:t>
      </w:r>
      <w:r w:rsidR="008E5AE0">
        <w:t xml:space="preserve">this </w:t>
      </w:r>
      <w:r w:rsidR="00032D8F">
        <w:t>Topic</w:t>
      </w:r>
      <w:r>
        <w:t xml:space="preserve"> have since been submitted by Luxembourg, </w:t>
      </w:r>
      <w:r w:rsidR="001A7228">
        <w:t>Russia, Norway</w:t>
      </w:r>
      <w:r w:rsidR="005F5EC2">
        <w:t xml:space="preserve">, </w:t>
      </w:r>
      <w:r>
        <w:t>US</w:t>
      </w:r>
      <w:r w:rsidR="008E5AE0">
        <w:t>,</w:t>
      </w:r>
      <w:r>
        <w:t xml:space="preserve"> Canada</w:t>
      </w:r>
      <w:r w:rsidR="0009157C">
        <w:t>,</w:t>
      </w:r>
      <w:r w:rsidR="00666974">
        <w:t xml:space="preserve"> </w:t>
      </w:r>
      <w:r w:rsidR="005F5EC2">
        <w:t>China</w:t>
      </w:r>
      <w:r w:rsidR="0009157C">
        <w:t xml:space="preserve"> and </w:t>
      </w:r>
      <w:proofErr w:type="spellStart"/>
      <w:r w:rsidR="0009157C">
        <w:t>Telesat</w:t>
      </w:r>
      <w:proofErr w:type="spellEnd"/>
      <w:r w:rsidR="006A0BE6">
        <w:t xml:space="preserve"> which</w:t>
      </w:r>
      <w:r>
        <w:t xml:space="preserve"> inputs have been consolidated and further commented</w:t>
      </w:r>
      <w:r w:rsidR="00F520DB">
        <w:t>.</w:t>
      </w:r>
      <w:r>
        <w:t xml:space="preserve"> </w:t>
      </w:r>
    </w:p>
    <w:p w14:paraId="1F98925B" w14:textId="531B7905" w:rsidR="00AF4946" w:rsidRPr="00AF4946" w:rsidRDefault="00AF4946" w:rsidP="00AF4946">
      <w:r w:rsidRPr="00AF4946">
        <w:lastRenderedPageBreak/>
        <w:t xml:space="preserve">The fourth and fifth remote WP 4A meetings in 2021 both merged the meeting inputs from USA and Canada with the existing WD and that merged version was carried forward as </w:t>
      </w:r>
      <w:r w:rsidR="00896027">
        <w:t>a</w:t>
      </w:r>
      <w:r w:rsidRPr="00AF4946">
        <w:t xml:space="preserve"> WD. </w:t>
      </w:r>
      <w:r w:rsidR="007F625F">
        <w:t xml:space="preserve">The same happened at the last WP 4A meeting in May 2022. </w:t>
      </w:r>
      <w:r w:rsidRPr="00AF4946">
        <w:t xml:space="preserve">As there </w:t>
      </w:r>
      <w:r w:rsidR="004228A4">
        <w:t>has not been much</w:t>
      </w:r>
      <w:r w:rsidRPr="00AF4946">
        <w:t xml:space="preserve"> discussion of this </w:t>
      </w:r>
      <w:r w:rsidR="00896027">
        <w:t xml:space="preserve">Topic </w:t>
      </w:r>
      <w:r w:rsidRPr="00AF4946">
        <w:t xml:space="preserve">during the </w:t>
      </w:r>
      <w:r w:rsidR="0063573D">
        <w:t xml:space="preserve">last three WP4A </w:t>
      </w:r>
      <w:r w:rsidRPr="00AF4946">
        <w:t>meeting</w:t>
      </w:r>
      <w:r w:rsidR="0063573D">
        <w:t>s</w:t>
      </w:r>
      <w:r w:rsidRPr="00AF4946">
        <w:t>, the WD is understood to be not agreed and a disclaimer to that effect has been added to the document.</w:t>
      </w:r>
    </w:p>
    <w:p w14:paraId="3DD75042" w14:textId="1805820B" w:rsidR="00AF4946" w:rsidRPr="00AF4946" w:rsidRDefault="00AF4946" w:rsidP="00AF4946">
      <w:r w:rsidRPr="00AF4946">
        <w:t>Annex 1 of Annex 2</w:t>
      </w:r>
      <w:r w:rsidR="00F356E6">
        <w:t>5</w:t>
      </w:r>
      <w:r w:rsidRPr="00AF4946">
        <w:t xml:space="preserve"> of the WP 4A Chairman’s report (4A/</w:t>
      </w:r>
      <w:r w:rsidR="00F356E6">
        <w:t>691</w:t>
      </w:r>
      <w:r w:rsidRPr="00AF4946">
        <w:t xml:space="preserve">) contains three technical approaches for determining tolerances for </w:t>
      </w:r>
      <w:r w:rsidRPr="00462295">
        <w:rPr>
          <w:rStyle w:val="ECCParagraph"/>
        </w:rPr>
        <w:t>the altitude of the satellite</w:t>
      </w:r>
      <w:r w:rsidRPr="00AF4946">
        <w:t>:</w:t>
      </w:r>
    </w:p>
    <w:p w14:paraId="227148AF" w14:textId="5CF77571" w:rsidR="00374FC0" w:rsidRPr="00ED1DA3" w:rsidRDefault="00722C42" w:rsidP="00ED1DA3">
      <w:pPr>
        <w:pStyle w:val="ECCNumberedList"/>
        <w:numPr>
          <w:ilvl w:val="0"/>
          <w:numId w:val="14"/>
        </w:numPr>
      </w:pPr>
      <w:r w:rsidRPr="00ED1DA3">
        <w:t>Tolerance for the altitude based on the spreading loss variation</w:t>
      </w:r>
    </w:p>
    <w:p w14:paraId="1C615BF3" w14:textId="238EE0B0" w:rsidR="00722C42" w:rsidRPr="00ED1DA3" w:rsidRDefault="00AD0186" w:rsidP="00ED1DA3">
      <w:pPr>
        <w:pStyle w:val="ECCNumberedList"/>
      </w:pPr>
      <w:r w:rsidRPr="00ED1DA3">
        <w:t>Tolerance for the altitude based on the Period associated with an orbit</w:t>
      </w:r>
    </w:p>
    <w:p w14:paraId="3B4E97AE" w14:textId="7B8F73D2" w:rsidR="00AD0186" w:rsidRDefault="00A77DAD" w:rsidP="00ED1DA3">
      <w:pPr>
        <w:pStyle w:val="ECCNumberedList"/>
      </w:pPr>
      <w:r w:rsidRPr="00ED1DA3">
        <w:t>General approach for the definition of the tolerance for the altitude</w:t>
      </w:r>
    </w:p>
    <w:p w14:paraId="78FCECB4" w14:textId="59AE451A" w:rsidR="00AF4946" w:rsidRPr="002B5A83" w:rsidRDefault="00AF4946" w:rsidP="00CC4A56">
      <w:pPr>
        <w:rPr>
          <w:rStyle w:val="ECCParagraph"/>
        </w:rPr>
      </w:pPr>
      <w:r w:rsidRPr="00CC4A56">
        <w:rPr>
          <w:rStyle w:val="ECCParagraph"/>
        </w:rPr>
        <w:t>And one technical approach for determining tolerances for the inclination of the satellite</w:t>
      </w:r>
      <w:r w:rsidR="00462295" w:rsidRPr="00CC4A56">
        <w:rPr>
          <w:rStyle w:val="ECCParagraph"/>
        </w:rPr>
        <w:t>.</w:t>
      </w:r>
    </w:p>
    <w:p w14:paraId="6659BF1E" w14:textId="77777777" w:rsidR="0069108A" w:rsidRPr="0069108A" w:rsidRDefault="0069108A" w:rsidP="0069108A">
      <w:pPr>
        <w:pStyle w:val="Titre1"/>
      </w:pPr>
      <w:r w:rsidRPr="00887F2B">
        <w:t>List of relevant documents</w:t>
      </w:r>
    </w:p>
    <w:p w14:paraId="1C05D956" w14:textId="77777777" w:rsidR="0069108A" w:rsidRPr="00045AD0" w:rsidRDefault="0069108A" w:rsidP="0069108A">
      <w:pPr>
        <w:pStyle w:val="ECCBreak"/>
        <w:rPr>
          <w:rStyle w:val="ECCParagraph"/>
          <w:lang w:val="fr-FR"/>
        </w:rPr>
      </w:pPr>
      <w:r w:rsidRPr="00045AD0">
        <w:rPr>
          <w:rStyle w:val="ECCParagraph"/>
          <w:lang w:val="fr-FR"/>
        </w:rPr>
        <w:t>ITU-Documentation (</w:t>
      </w:r>
      <w:proofErr w:type="spellStart"/>
      <w:r w:rsidRPr="00045AD0">
        <w:rPr>
          <w:rStyle w:val="ECCParagraph"/>
          <w:lang w:val="fr-FR"/>
        </w:rPr>
        <w:t>Recommendations</w:t>
      </w:r>
      <w:proofErr w:type="spellEnd"/>
      <w:r w:rsidRPr="00045AD0">
        <w:rPr>
          <w:rStyle w:val="ECCParagraph"/>
          <w:lang w:val="fr-FR"/>
        </w:rPr>
        <w:t xml:space="preserve">, Reports, </w:t>
      </w:r>
      <w:proofErr w:type="spellStart"/>
      <w:r w:rsidRPr="00045AD0">
        <w:rPr>
          <w:rStyle w:val="ECCParagraph"/>
          <w:lang w:val="fr-FR"/>
        </w:rPr>
        <w:t>other</w:t>
      </w:r>
      <w:proofErr w:type="spellEnd"/>
      <w:r w:rsidRPr="00045AD0">
        <w:rPr>
          <w:rStyle w:val="ECCParagraph"/>
          <w:lang w:val="fr-FR"/>
        </w:rPr>
        <w:t>)</w:t>
      </w:r>
    </w:p>
    <w:p w14:paraId="276F8040" w14:textId="77777777" w:rsidR="0069108A" w:rsidRPr="0069108A" w:rsidRDefault="0069108A" w:rsidP="00BD4D92">
      <w:pPr>
        <w:pStyle w:val="ECCBulletsLv1"/>
      </w:pPr>
      <w:r w:rsidRPr="004A274A">
        <w:t>Resolution </w:t>
      </w:r>
      <w:r w:rsidRPr="00BD1B07">
        <w:rPr>
          <w:rStyle w:val="ECCHLbold"/>
        </w:rPr>
        <w:t>35 (WRC-19)</w:t>
      </w:r>
    </w:p>
    <w:p w14:paraId="7B97E014" w14:textId="77777777" w:rsidR="0069108A" w:rsidRPr="0069108A" w:rsidRDefault="002208C7" w:rsidP="0069108A">
      <w:pPr>
        <w:pStyle w:val="ECCBulletsLv1"/>
        <w:rPr>
          <w:rStyle w:val="Lienhypertexte"/>
        </w:rPr>
      </w:pPr>
      <w:hyperlink r:id="rId11" w:history="1">
        <w:r w:rsidR="0069108A" w:rsidRPr="0069108A">
          <w:rPr>
            <w:rStyle w:val="Lienhypertexte"/>
          </w:rPr>
          <w:t>Section 10.5 of WRC/571- the WRC-19 10th Plenary minutes</w:t>
        </w:r>
      </w:hyperlink>
    </w:p>
    <w:p w14:paraId="7DEB9D93" w14:textId="5F946EB9" w:rsidR="00AF4946" w:rsidRPr="00AF4946" w:rsidRDefault="002208C7" w:rsidP="00AF4946">
      <w:pPr>
        <w:pStyle w:val="ECCBulletsLv1"/>
      </w:pPr>
      <w:hyperlink r:id="rId12" w:history="1">
        <w:r w:rsidR="00AF4946" w:rsidRPr="00AF4946">
          <w:rPr>
            <w:rStyle w:val="Lienhypertexte"/>
          </w:rPr>
          <w:t>4A/552</w:t>
        </w:r>
      </w:hyperlink>
      <w:r w:rsidR="00AF4946" w:rsidRPr="00AF4946">
        <w:t xml:space="preserve"> - Chairman’s Report of the 5th WP 4A meeting, Section 4.3</w:t>
      </w:r>
    </w:p>
    <w:p w14:paraId="76044A00" w14:textId="7B87DE3F" w:rsidR="000E22B5" w:rsidRDefault="002208C7" w:rsidP="0069108A">
      <w:pPr>
        <w:pStyle w:val="ECCBulletsLv1"/>
      </w:pPr>
      <w:hyperlink r:id="rId13" w:history="1">
        <w:r w:rsidR="00F073C9" w:rsidRPr="007C3690">
          <w:rPr>
            <w:rStyle w:val="Lienhypertexte"/>
          </w:rPr>
          <w:t xml:space="preserve">Annex </w:t>
        </w:r>
        <w:r w:rsidR="00B403F6" w:rsidRPr="007C3690">
          <w:rPr>
            <w:rStyle w:val="Lienhypertexte"/>
          </w:rPr>
          <w:t>25 of 4A/691</w:t>
        </w:r>
      </w:hyperlink>
      <w:r w:rsidR="007C3690">
        <w:t xml:space="preserve"> </w:t>
      </w:r>
      <w:r w:rsidR="00AF4946">
        <w:t xml:space="preserve">- </w:t>
      </w:r>
      <w:r w:rsidR="00AF4946" w:rsidRPr="000F57E5">
        <w:t>W</w:t>
      </w:r>
      <w:r w:rsidR="00AF4946">
        <w:t>D</w:t>
      </w:r>
      <w:r w:rsidR="00AF4946" w:rsidRPr="000F57E5">
        <w:t xml:space="preserve"> towards a </w:t>
      </w:r>
      <w:r w:rsidR="00AF4946">
        <w:t>PDN</w:t>
      </w:r>
      <w:r w:rsidR="00AF4946" w:rsidRPr="000F57E5">
        <w:t xml:space="preserve"> report on </w:t>
      </w:r>
      <w:r w:rsidR="00AF4946">
        <w:t>AI</w:t>
      </w:r>
      <w:r w:rsidR="00AF4946" w:rsidRPr="000F57E5">
        <w:t xml:space="preserve"> 7, Topic A - Tolerances for certain orbital characteristics of non-GSO space stations in the FSS, BSS, and MSS</w:t>
      </w:r>
    </w:p>
    <w:p w14:paraId="541BCA8F" w14:textId="162CF115" w:rsidR="00B403F6" w:rsidRDefault="002208C7" w:rsidP="0069108A">
      <w:pPr>
        <w:pStyle w:val="ECCBulletsLv1"/>
      </w:pPr>
      <w:hyperlink r:id="rId14" w:history="1">
        <w:r w:rsidR="00B403F6" w:rsidRPr="00EA1323">
          <w:rPr>
            <w:rStyle w:val="Lienhypertexte"/>
          </w:rPr>
          <w:t xml:space="preserve">Annex </w:t>
        </w:r>
        <w:r w:rsidR="00EA1323" w:rsidRPr="00EA1323">
          <w:rPr>
            <w:rStyle w:val="Lienhypertexte"/>
          </w:rPr>
          <w:t>32</w:t>
        </w:r>
        <w:r w:rsidR="00B403F6" w:rsidRPr="00EA1323">
          <w:rPr>
            <w:rStyle w:val="Lienhypertexte"/>
          </w:rPr>
          <w:t xml:space="preserve"> of 4A/691</w:t>
        </w:r>
      </w:hyperlink>
      <w:r w:rsidR="00B403F6">
        <w:t xml:space="preserve"> - </w:t>
      </w:r>
      <w:r w:rsidR="00EA1323" w:rsidRPr="00EA1323">
        <w:t>Preliminary draft CPM text for WRC-23 agenda item 7, Topic A</w:t>
      </w:r>
    </w:p>
    <w:p w14:paraId="17D7EDD4" w14:textId="77777777" w:rsidR="0069108A" w:rsidRPr="00887F2B" w:rsidRDefault="0069108A" w:rsidP="0069108A">
      <w:pPr>
        <w:pStyle w:val="ECCBreak"/>
        <w:rPr>
          <w:rStyle w:val="ECCParagraph"/>
        </w:rPr>
      </w:pPr>
      <w:r w:rsidRPr="00887F2B">
        <w:rPr>
          <w:rStyle w:val="ECCParagraph"/>
        </w:rPr>
        <w:t>CEPT and/or ECC Documentation (Decisions, Recommendations, Reports)</w:t>
      </w:r>
    </w:p>
    <w:p w14:paraId="51CBAAE4" w14:textId="78C45D89" w:rsidR="0069108A" w:rsidRPr="00887F2B" w:rsidRDefault="0069108A" w:rsidP="00E13CE7">
      <w:pPr>
        <w:pStyle w:val="ECCBulletsLv1"/>
        <w:rPr>
          <w:rStyle w:val="ECCParagraph"/>
        </w:rPr>
      </w:pPr>
    </w:p>
    <w:p w14:paraId="0D67D49B" w14:textId="77777777" w:rsidR="0069108A" w:rsidRPr="00887F2B" w:rsidRDefault="0069108A" w:rsidP="0069108A">
      <w:pPr>
        <w:pStyle w:val="ECCBreak"/>
        <w:rPr>
          <w:rStyle w:val="ECCParagraph"/>
        </w:rPr>
      </w:pPr>
      <w:r w:rsidRPr="00887F2B">
        <w:rPr>
          <w:rStyle w:val="ECCParagraph"/>
        </w:rPr>
        <w:t>EU Documentation (Directives, Decisions, Recommendations, other), if applicable</w:t>
      </w:r>
    </w:p>
    <w:p w14:paraId="635407BD" w14:textId="77777777" w:rsidR="0069108A" w:rsidRPr="00887F2B" w:rsidRDefault="0069108A" w:rsidP="0069108A">
      <w:pPr>
        <w:pStyle w:val="ECCBulletsLv1"/>
        <w:rPr>
          <w:rStyle w:val="ECCParagraph"/>
        </w:rPr>
      </w:pPr>
    </w:p>
    <w:p w14:paraId="29B9B7CD" w14:textId="77777777" w:rsidR="0069108A" w:rsidRPr="0069108A" w:rsidRDefault="0069108A" w:rsidP="0069108A">
      <w:pPr>
        <w:pStyle w:val="Titre1"/>
      </w:pPr>
      <w:r w:rsidRPr="00887F2B">
        <w:t>Actions to be taken</w:t>
      </w:r>
    </w:p>
    <w:p w14:paraId="54CCFAA7" w14:textId="3C7EEF96" w:rsidR="0069108A" w:rsidRPr="0069108A" w:rsidRDefault="0069108A" w:rsidP="0069108A">
      <w:pPr>
        <w:pStyle w:val="ECCBulletsLv1"/>
      </w:pPr>
      <w:r w:rsidRPr="00A51EC4">
        <w:t xml:space="preserve">Further develop </w:t>
      </w:r>
      <w:r w:rsidR="00B5039B">
        <w:t xml:space="preserve">the </w:t>
      </w:r>
      <w:r w:rsidRPr="00A51EC4">
        <w:t>preliminary CEPT position and eventually draft European Common Proposal</w:t>
      </w:r>
      <w:r w:rsidRPr="0069108A">
        <w:t>s (ECPs), as appropriate.</w:t>
      </w:r>
    </w:p>
    <w:p w14:paraId="56B8C7EF" w14:textId="1E6D821B" w:rsidR="0069108A" w:rsidRDefault="0069108A" w:rsidP="0069108A">
      <w:pPr>
        <w:pStyle w:val="ECCBulletsLv1"/>
        <w:rPr>
          <w:rStyle w:val="ECCParagraph"/>
        </w:rPr>
      </w:pPr>
      <w:r>
        <w:rPr>
          <w:rStyle w:val="ECCParagraph"/>
        </w:rPr>
        <w:t xml:space="preserve">To review the possible impact of </w:t>
      </w:r>
      <w:r w:rsidRPr="0069108A">
        <w:rPr>
          <w:rStyle w:val="ECCParagraph"/>
        </w:rPr>
        <w:t xml:space="preserve">tolerances that would be applicable to those space stations simultaneously operating frequency assignments belonging to services referred to in Nos. </w:t>
      </w:r>
      <w:r w:rsidRPr="0069108A">
        <w:rPr>
          <w:rStyle w:val="ECCHLbold"/>
        </w:rPr>
        <w:t>11.44C</w:t>
      </w:r>
      <w:r w:rsidRPr="0069108A">
        <w:rPr>
          <w:rStyle w:val="ECCParagraph"/>
        </w:rPr>
        <w:t xml:space="preserve"> and </w:t>
      </w:r>
      <w:r w:rsidRPr="0069108A">
        <w:rPr>
          <w:rStyle w:val="ECCHLbold"/>
        </w:rPr>
        <w:t>11.44D</w:t>
      </w:r>
      <w:r w:rsidRPr="0069108A">
        <w:rPr>
          <w:rStyle w:val="ECCParagraph"/>
        </w:rPr>
        <w:t xml:space="preserve"> of the Radio Regulations.</w:t>
      </w:r>
    </w:p>
    <w:p w14:paraId="344AFBAD" w14:textId="77777777" w:rsidR="0069108A" w:rsidRPr="0069108A" w:rsidRDefault="0069108A" w:rsidP="0069108A">
      <w:pPr>
        <w:pStyle w:val="Titre1"/>
      </w:pPr>
      <w:r w:rsidRPr="00887F2B">
        <w:t xml:space="preserve">Relevant information from outside CEPT </w:t>
      </w:r>
    </w:p>
    <w:p w14:paraId="3BA5E222" w14:textId="77777777" w:rsidR="0069108A" w:rsidRPr="0069108A" w:rsidRDefault="0069108A" w:rsidP="0069108A">
      <w:pPr>
        <w:pStyle w:val="Titre2"/>
        <w:rPr>
          <w:rStyle w:val="ECCParagraph"/>
        </w:rPr>
      </w:pPr>
      <w:r w:rsidRPr="00CC4A56">
        <w:t>European Union (date of proposal)</w:t>
      </w:r>
    </w:p>
    <w:p w14:paraId="65E0F45D" w14:textId="77777777" w:rsidR="0069108A" w:rsidRPr="0069108A" w:rsidRDefault="0069108A" w:rsidP="0069108A">
      <w:pPr>
        <w:pStyle w:val="Titre2"/>
      </w:pPr>
      <w:r w:rsidRPr="00887F2B">
        <w:t>Regional telecommunication organisations</w:t>
      </w:r>
    </w:p>
    <w:p w14:paraId="4B728ECD" w14:textId="77777777" w:rsidR="00E80AB6" w:rsidRDefault="00E80AB6" w:rsidP="0069108A">
      <w:pPr>
        <w:pStyle w:val="ECCBreak"/>
      </w:pPr>
    </w:p>
    <w:p w14:paraId="020B6E9A" w14:textId="63FF126B" w:rsidR="0069108A" w:rsidRDefault="0069108A" w:rsidP="0069108A">
      <w:pPr>
        <w:pStyle w:val="ECCBreak"/>
      </w:pPr>
      <w:r w:rsidRPr="00887F2B">
        <w:lastRenderedPageBreak/>
        <w:t>APT (</w:t>
      </w:r>
      <w:r w:rsidR="00C45FDB">
        <w:t>November 2022</w:t>
      </w:r>
      <w:r w:rsidRPr="00887F2B">
        <w:t>)</w:t>
      </w:r>
    </w:p>
    <w:p w14:paraId="5E4455F0" w14:textId="0288B0BE" w:rsidR="004F3B4D" w:rsidRPr="004F3B4D" w:rsidRDefault="004F3B4D" w:rsidP="00CC4A56">
      <w:pPr>
        <w:pStyle w:val="ECCBulletsLv1"/>
      </w:pPr>
      <w:r w:rsidRPr="004F3B4D">
        <w:t>APT Members support the development of the definition of tolerances of non-geostationary-satellite orbit (non-GSO) space stations in the FSS, BSS and MSS.</w:t>
      </w:r>
    </w:p>
    <w:p w14:paraId="7EA1B21A" w14:textId="77777777" w:rsidR="004F3B4D" w:rsidRPr="004F3B4D" w:rsidRDefault="004F3B4D" w:rsidP="00CC4A56">
      <w:pPr>
        <w:pStyle w:val="ECCBulletsLv1"/>
      </w:pPr>
      <w:r w:rsidRPr="004F3B4D">
        <w:t xml:space="preserve">APT Members are of the view that the development of the definition of tolerances of non-geostationary-satellite orbit (non-GSO) space stations in the FSS, BSS and MSS, should be limited to the inclination of the orbital plane, the altitude of the apogee of the space station, the altitude of the perigee of the space station and the argument of the perigee of the orbital plane, to account for potential differences between the notified and deployed orbital characteristics. </w:t>
      </w:r>
    </w:p>
    <w:p w14:paraId="0339DF9E" w14:textId="29820F36" w:rsidR="004F3B4D" w:rsidRPr="00847FF3" w:rsidRDefault="004F3B4D" w:rsidP="00CC4A56">
      <w:pPr>
        <w:pStyle w:val="ECCBulletsLv1"/>
      </w:pPr>
      <w:r w:rsidRPr="004F3B4D">
        <w:t xml:space="preserve">APT Members are also of the view that appropriate regulatory consequences/measures should be developed </w:t>
      </w:r>
      <w:proofErr w:type="gramStart"/>
      <w:r w:rsidRPr="004F3B4D">
        <w:t>taking into account</w:t>
      </w:r>
      <w:proofErr w:type="gramEnd"/>
      <w:r w:rsidRPr="004F3B4D">
        <w:t xml:space="preserve"> the operational aspects of the non-GSO space stations in the FSS, BSS and MSS, if the operations are beyond the specified allowable tolerances. These regulatory measures should not have retroactive application. Moreover, necessary transitional measures for application of the decision of WRC-23 may need to be developed.</w:t>
      </w:r>
    </w:p>
    <w:p w14:paraId="0B9EC31E" w14:textId="50F12B09" w:rsidR="0069108A" w:rsidRDefault="0069108A" w:rsidP="0069108A">
      <w:pPr>
        <w:pStyle w:val="ECCBreak"/>
      </w:pPr>
      <w:r w:rsidRPr="00887F2B">
        <w:t>ATU (</w:t>
      </w:r>
      <w:r w:rsidR="00942F1B">
        <w:t>September 2021</w:t>
      </w:r>
      <w:r w:rsidRPr="00887F2B">
        <w:t>)</w:t>
      </w:r>
    </w:p>
    <w:p w14:paraId="25DAC114" w14:textId="6A5E930C" w:rsidR="0015245D" w:rsidRPr="0015245D" w:rsidRDefault="0015245D" w:rsidP="0015245D">
      <w:pPr>
        <w:pStyle w:val="ECCBulletsLv1"/>
      </w:pPr>
      <w:r w:rsidRPr="0015245D">
        <w:t xml:space="preserve">Support studies on identifying acceptable tolerances for the following orbital characteristics: for the inclination of the orbital plane, the altitude of the apogee of the space station, the altitude of the perigee of the space station and the argument of the perigee of the orbital </w:t>
      </w:r>
      <w:r w:rsidR="00B3040D" w:rsidRPr="0015245D">
        <w:t>plane.</w:t>
      </w:r>
    </w:p>
    <w:p w14:paraId="7DB2703E" w14:textId="1C6C3124" w:rsidR="0015245D" w:rsidRPr="0015245D" w:rsidRDefault="0015245D" w:rsidP="0015245D">
      <w:pPr>
        <w:pStyle w:val="ECCBulletsLv1"/>
      </w:pPr>
      <w:r w:rsidRPr="0015245D">
        <w:t xml:space="preserve">Decide that specific regulatory measures for tolerances ought to be taken in order to avoid collision with another non-geostationary space station. Tolerances for the orbital characteristics should on one hand provide flexibility of satellite operators to </w:t>
      </w:r>
      <w:r w:rsidR="00B3040D" w:rsidRPr="0015245D">
        <w:t>manoeuvre</w:t>
      </w:r>
      <w:r w:rsidRPr="0015245D">
        <w:t xml:space="preserve"> their satellites without wasting too much fuel on the other hand provide no room for abuse to go out of the notified orbital </w:t>
      </w:r>
      <w:r w:rsidR="00B3040D" w:rsidRPr="0015245D">
        <w:t>characteristics.</w:t>
      </w:r>
    </w:p>
    <w:p w14:paraId="3DF94F79" w14:textId="3E6CEC39" w:rsidR="0015245D" w:rsidRPr="0015245D" w:rsidRDefault="0015245D" w:rsidP="0015245D">
      <w:pPr>
        <w:pStyle w:val="ECCBulletsLv1"/>
      </w:pPr>
      <w:r w:rsidRPr="0015245D">
        <w:t xml:space="preserve">Decide that special cases in the orbiting phase should be </w:t>
      </w:r>
      <w:proofErr w:type="gramStart"/>
      <w:r w:rsidRPr="0015245D">
        <w:t>taken into account</w:t>
      </w:r>
      <w:proofErr w:type="gramEnd"/>
      <w:r w:rsidRPr="0015245D">
        <w:t>. Regulatory procedures should clearly define this.</w:t>
      </w:r>
    </w:p>
    <w:p w14:paraId="29F3CEBA" w14:textId="5FBA1E4C" w:rsidR="0015245D" w:rsidRPr="0015245D" w:rsidRDefault="0015245D" w:rsidP="0015245D">
      <w:pPr>
        <w:pStyle w:val="ECCBulletsLv1"/>
      </w:pPr>
      <w:r w:rsidRPr="0015245D">
        <w:t>Decide that appropriate regulatory provisions ought to be developed for frequency assignments to non-GSO space stations that do not maintain or exceed the orbital tolerances and the effects that will result from these exceedances on the file submitted to the ITU.</w:t>
      </w:r>
    </w:p>
    <w:p w14:paraId="64B02014" w14:textId="055B4509" w:rsidR="0069108A" w:rsidRDefault="0069108A" w:rsidP="0069108A">
      <w:pPr>
        <w:pStyle w:val="ECCBreak"/>
      </w:pPr>
      <w:r w:rsidRPr="00887F2B">
        <w:t>Arab Group (</w:t>
      </w:r>
      <w:r w:rsidR="007A1013">
        <w:t>2</w:t>
      </w:r>
      <w:r w:rsidR="006F7CB4">
        <w:t>5 March 2021</w:t>
      </w:r>
      <w:r w:rsidRPr="00887F2B">
        <w:t>)</w:t>
      </w:r>
    </w:p>
    <w:p w14:paraId="6C43F328" w14:textId="6252B403" w:rsidR="006F7CB4" w:rsidRDefault="006F7CB4" w:rsidP="00B04D1A">
      <w:pPr>
        <w:pStyle w:val="ECCBulletsLv1"/>
      </w:pPr>
      <w:r w:rsidRPr="006F7CB4">
        <w:t xml:space="preserve">Follow-up studies and take under consideration the effect of exceeding </w:t>
      </w:r>
      <w:r w:rsidR="00B3040D" w:rsidRPr="006F7CB4">
        <w:t>this tolerance</w:t>
      </w:r>
      <w:r w:rsidRPr="006F7CB4">
        <w:t xml:space="preserve"> and how it can be reflected in the satellite filing.</w:t>
      </w:r>
    </w:p>
    <w:p w14:paraId="5F46174F" w14:textId="0E22E8A6" w:rsidR="006F7CB4" w:rsidRPr="00CC4A56" w:rsidRDefault="006F7CB4" w:rsidP="00B04D1A">
      <w:pPr>
        <w:pStyle w:val="ECCBulletsLv1"/>
        <w:rPr>
          <w:lang w:val="da-DK"/>
        </w:rPr>
      </w:pPr>
      <w:r w:rsidRPr="006F7CB4">
        <w:t>Provide the necessary regulatory procedures for NGSO constellation in case exceeding the tolerance of the orbital plan.</w:t>
      </w:r>
    </w:p>
    <w:p w14:paraId="53CB895B" w14:textId="3D7CF674" w:rsidR="0069108A" w:rsidRPr="00D11141" w:rsidRDefault="0069108A" w:rsidP="0069108A">
      <w:pPr>
        <w:pStyle w:val="ECCBreak"/>
        <w:rPr>
          <w:lang w:val="en-US"/>
        </w:rPr>
      </w:pPr>
      <w:r w:rsidRPr="00CC4A56">
        <w:t>CITEL (</w:t>
      </w:r>
      <w:r w:rsidR="004418FC" w:rsidRPr="004418FC">
        <w:t>November 2022)</w:t>
      </w:r>
      <w:r w:rsidRPr="00D11141">
        <w:rPr>
          <w:lang w:val="en-US"/>
        </w:rPr>
        <w:t>)</w:t>
      </w:r>
    </w:p>
    <w:p w14:paraId="2293D41C" w14:textId="2CFFD164" w:rsidR="005B223C" w:rsidRDefault="00600985" w:rsidP="00600985">
      <w:r>
        <w:t>T</w:t>
      </w:r>
      <w:r w:rsidR="00243522" w:rsidRPr="00243522">
        <w:t>hree admin</w:t>
      </w:r>
      <w:r w:rsidR="009C4346">
        <w:t>istration</w:t>
      </w:r>
      <w:r w:rsidR="00243522" w:rsidRPr="00243522">
        <w:t xml:space="preserve">s are of the </w:t>
      </w:r>
      <w:r>
        <w:t xml:space="preserve">preliminary </w:t>
      </w:r>
      <w:r w:rsidR="00243522" w:rsidRPr="00243522">
        <w:t>view</w:t>
      </w:r>
      <w:r>
        <w:t xml:space="preserve">: </w:t>
      </w:r>
    </w:p>
    <w:p w14:paraId="33BF3B4D" w14:textId="5D6FBC33" w:rsidR="00600985" w:rsidRPr="00600985" w:rsidRDefault="00600985" w:rsidP="002B5A83">
      <w:pPr>
        <w:pStyle w:val="ECCBulletsLv1"/>
      </w:pPr>
      <w:r w:rsidRPr="00600985">
        <w:t>With respect to WRC-23 AI 7, Topic A (non-GSO tolerances), These CITEL countries support the study into the need for such tolerances, and are of the view that the study of tolerances for the characteristics of notified orbital planes for non-GSO FSS, BSS and MSS systems should be limited to the four parameters identified in the minutes of the Plenary of WRC-19: inclination of the orbital plane, the altitude of the apogee of the space station, the altitude of the perigee of the space station and the argument of the perigee of the orbital plane. Depending upon the results of these studies, allowable differences between the orbital characteristics of the notified orbital plane, as defined in No. 11.44C.1, and the actual deployed orbital plane of a non-GSO space station could be determined.</w:t>
      </w:r>
    </w:p>
    <w:p w14:paraId="61024807" w14:textId="6E60ECC0" w:rsidR="009C4346" w:rsidRDefault="009C4346" w:rsidP="00B04D1A">
      <w:r>
        <w:t xml:space="preserve">One administration </w:t>
      </w:r>
      <w:r w:rsidR="005B223C">
        <w:t>is of the preliminary view:</w:t>
      </w:r>
    </w:p>
    <w:p w14:paraId="498C9E4A" w14:textId="4C9749CD" w:rsidR="005B223C" w:rsidRPr="005B223C" w:rsidRDefault="005B223C" w:rsidP="002B5A83">
      <w:pPr>
        <w:pStyle w:val="ECCBulletsLv1"/>
      </w:pPr>
      <w:r w:rsidRPr="005B223C">
        <w:t xml:space="preserve">Brazil is also of the view that only the above-mentioned four orbital parameters identified in the minutes of the plenary of WRC-19, could be subject to examination by the Bureau. </w:t>
      </w:r>
    </w:p>
    <w:p w14:paraId="3C6C235C" w14:textId="3512B3EF" w:rsidR="005B223C" w:rsidRDefault="005B223C" w:rsidP="002B5A83">
      <w:pPr>
        <w:pStyle w:val="ECCBulletsLv1"/>
      </w:pPr>
      <w:r w:rsidRPr="005B223C">
        <w:t xml:space="preserve">Brazil further notes the need to develop regulatory measures to temporary exceed the defined tolerances if final tolerances definition could not address such operational requirements, in order to avoid collision with another non-GSO space station or to permit re-organization of satellites in an orbit-plane after a launch of new non-GSO space stations. Finally, Brazil is of the view that the ITU-R should also develop </w:t>
      </w:r>
      <w:r w:rsidRPr="005B223C">
        <w:lastRenderedPageBreak/>
        <w:t>appropriate regulatory consequences for frequency assignments to non-GSO space stations that do not maintain these to-be-developed orbital tolerances.</w:t>
      </w:r>
    </w:p>
    <w:p w14:paraId="570D63D4" w14:textId="5A371D75" w:rsidR="00243522" w:rsidRDefault="00600985" w:rsidP="00B04D1A">
      <w:r>
        <w:t>A</w:t>
      </w:r>
      <w:r w:rsidR="00243522" w:rsidRPr="00243522">
        <w:t>nother admin</w:t>
      </w:r>
      <w:r w:rsidR="005B223C">
        <w:t>istration</w:t>
      </w:r>
      <w:r w:rsidR="00243522" w:rsidRPr="00243522">
        <w:t xml:space="preserve"> is of the </w:t>
      </w:r>
      <w:r>
        <w:t>prelimi</w:t>
      </w:r>
      <w:r w:rsidR="00214067">
        <w:t xml:space="preserve">nary </w:t>
      </w:r>
      <w:r w:rsidR="00243522" w:rsidRPr="00243522">
        <w:t>view</w:t>
      </w:r>
      <w:r w:rsidR="00214067">
        <w:t xml:space="preserve">: </w:t>
      </w:r>
    </w:p>
    <w:p w14:paraId="37ACC90F" w14:textId="2C5C4C75" w:rsidR="005B223C" w:rsidRPr="00B04D1A" w:rsidRDefault="007150F9" w:rsidP="002B5A83">
      <w:pPr>
        <w:pStyle w:val="ECCBulletsLv1"/>
      </w:pPr>
      <w:r w:rsidRPr="007150F9">
        <w:t xml:space="preserve">Canada is also of the view that the above-mentioned four parameters identified in the minutes of the plenary of WRC-19, are the only orbital parameters that could be considered in any application of Nos. 11.44C.2, 11.44D.2, 13.6 or any other relevant existing provisions of the Radio Regulations. As a result of the above, it is also Canada’s view that satellite in systems subject to No. 11.44D.2, should benefit from the flexibility offered by the tolerances for the above-mentioned four parameters. </w:t>
      </w:r>
    </w:p>
    <w:p w14:paraId="0CA43744" w14:textId="266616F1" w:rsidR="00AF4946" w:rsidRPr="00E42B24" w:rsidRDefault="00AF4946" w:rsidP="00AF4946">
      <w:pPr>
        <w:pStyle w:val="ECCBreak"/>
        <w:rPr>
          <w:lang w:val="en-US"/>
        </w:rPr>
      </w:pPr>
      <w:r w:rsidRPr="00E42B24">
        <w:rPr>
          <w:lang w:val="en-US"/>
        </w:rPr>
        <w:t>RCC (</w:t>
      </w:r>
      <w:r w:rsidR="001E3113">
        <w:t>June</w:t>
      </w:r>
      <w:r w:rsidR="00AB33F2">
        <w:t xml:space="preserve"> 2022</w:t>
      </w:r>
      <w:r w:rsidRPr="00E42B24">
        <w:rPr>
          <w:lang w:val="en-US"/>
        </w:rPr>
        <w:t>)</w:t>
      </w:r>
    </w:p>
    <w:p w14:paraId="2B9EEEF0" w14:textId="0D7E60E1" w:rsidR="00AB33F2" w:rsidRPr="00AB33F2" w:rsidRDefault="00AB33F2" w:rsidP="00AB33F2">
      <w:r w:rsidRPr="00AB33F2">
        <w:t>The RCC Telecommunication Administrations are of the view that, studying tolerances for certain orbital characteristics of non-GSO space stations should only be carried out with respect to systems in the fixed-satellite, mobile-</w:t>
      </w:r>
      <w:r w:rsidR="00B3040D" w:rsidRPr="00AB33F2">
        <w:t>satellite,</w:t>
      </w:r>
      <w:r w:rsidRPr="00AB33F2">
        <w:t xml:space="preserve"> and broadcasting satellite services subject to Resolution 35 (WRC-19). Tolerances for the inclination of the orbital plane, the altitude of the apogee of the space station, the altitude of the perigee of the space station and the argument of the perigee of the orbital plane shall depend on the type of orbit of the space station. The specified tolerances shall not be applied to the satellite systems with the altitude of the apogee exceeding 15000 km.</w:t>
      </w:r>
    </w:p>
    <w:p w14:paraId="0B412E4E" w14:textId="77777777" w:rsidR="00AB33F2" w:rsidRPr="00AB33F2" w:rsidRDefault="00AB33F2" w:rsidP="00AB33F2">
      <w:r w:rsidRPr="00AB33F2">
        <w:t>The RCC Telecommunication Administrations are of the view that, the regulatory mechanisms for temporarily excess of the established tolerances need to be developed, in order to meet the operational requirements of non-GSO systems.</w:t>
      </w:r>
    </w:p>
    <w:p w14:paraId="34676CDB" w14:textId="15657EEE" w:rsidR="0069108A" w:rsidRPr="00887F2B" w:rsidRDefault="0069108A" w:rsidP="008628A9">
      <w:pPr>
        <w:pStyle w:val="Titre2"/>
      </w:pPr>
      <w:r w:rsidRPr="00887F2B">
        <w:t>International organisations</w:t>
      </w:r>
    </w:p>
    <w:p w14:paraId="7EC7D27D" w14:textId="71C328CE" w:rsidR="0069108A" w:rsidRPr="0069108A" w:rsidRDefault="00B71D06" w:rsidP="0069108A">
      <w:pPr>
        <w:pStyle w:val="Titre2"/>
      </w:pPr>
      <w:r>
        <w:t>other</w:t>
      </w:r>
      <w:r w:rsidRPr="00887F2B">
        <w:t xml:space="preserve"> </w:t>
      </w:r>
      <w:r w:rsidR="0069108A" w:rsidRPr="00887F2B">
        <w:t>organisations</w:t>
      </w:r>
    </w:p>
    <w:p w14:paraId="483EEA6C" w14:textId="6A63B983" w:rsidR="00EF131F" w:rsidRPr="00887F2B" w:rsidRDefault="00EF131F" w:rsidP="00EF131F">
      <w:pPr>
        <w:rPr>
          <w:rStyle w:val="ECCParagraph"/>
        </w:rPr>
      </w:pPr>
    </w:p>
    <w:p w14:paraId="32B1E37B" w14:textId="45CB49D7" w:rsidR="003A68D5" w:rsidRDefault="003A68D5" w:rsidP="00037FA4">
      <w:pPr>
        <w:rPr>
          <w:rStyle w:val="ECCParagraph"/>
        </w:rPr>
      </w:pPr>
    </w:p>
    <w:sectPr w:rsidR="003A68D5" w:rsidSect="003771D5">
      <w:headerReference w:type="even" r:id="rId15"/>
      <w:headerReference w:type="default" r:id="rId16"/>
      <w:footerReference w:type="even" r:id="rId17"/>
      <w:footerReference w:type="default" r:id="rId18"/>
      <w:headerReference w:type="first" r:id="rId19"/>
      <w:footerReference w:type="first" r:id="rId2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7D502" w14:textId="77777777" w:rsidR="002208C7" w:rsidRDefault="002208C7" w:rsidP="00D0121B">
      <w:r>
        <w:separator/>
      </w:r>
    </w:p>
    <w:p w14:paraId="0C23809A" w14:textId="77777777" w:rsidR="002208C7" w:rsidRDefault="002208C7"/>
    <w:p w14:paraId="49094360" w14:textId="77777777" w:rsidR="002208C7" w:rsidRDefault="002208C7"/>
  </w:endnote>
  <w:endnote w:type="continuationSeparator" w:id="0">
    <w:p w14:paraId="2A920694" w14:textId="77777777" w:rsidR="002208C7" w:rsidRDefault="002208C7" w:rsidP="00D0121B">
      <w:r>
        <w:continuationSeparator/>
      </w:r>
    </w:p>
    <w:p w14:paraId="3F1315C3" w14:textId="77777777" w:rsidR="002208C7" w:rsidRDefault="002208C7"/>
    <w:p w14:paraId="5A36A3F1" w14:textId="77777777" w:rsidR="002208C7" w:rsidRDefault="00220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10A9C" w14:textId="627502C5" w:rsidR="006673D3" w:rsidRDefault="006673D3">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D560" w14:textId="74634063" w:rsidR="006673D3" w:rsidRDefault="006673D3">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4F7C" w14:textId="3DF829AA" w:rsidR="006673D3" w:rsidRPr="00C22BC4" w:rsidRDefault="006673D3">
    <w:pPr>
      <w:spacing w:before="0" w:after="0"/>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74CB5" w14:textId="77777777" w:rsidR="002208C7" w:rsidRPr="00C77ABB" w:rsidRDefault="002208C7" w:rsidP="00C77ABB">
      <w:pPr>
        <w:pStyle w:val="Notedebasdepage"/>
      </w:pPr>
      <w:r w:rsidRPr="00C77ABB">
        <w:separator/>
      </w:r>
    </w:p>
  </w:footnote>
  <w:footnote w:type="continuationSeparator" w:id="0">
    <w:p w14:paraId="566CB2B4" w14:textId="77777777" w:rsidR="002208C7" w:rsidRPr="00C77ABB" w:rsidRDefault="002208C7" w:rsidP="00C77ABB">
      <w:pPr>
        <w:pStyle w:val="Notedebasdepage"/>
      </w:pPr>
      <w:r w:rsidRPr="00C77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79A4" w14:textId="18A9C18D" w:rsidR="00872942" w:rsidRPr="00872942" w:rsidRDefault="00872942" w:rsidP="00872942">
    <w:pPr>
      <w:pStyle w:val="ECCpageHeader"/>
    </w:pPr>
    <w:r>
      <w:tab/>
    </w:r>
    <w:r>
      <w:tab/>
    </w:r>
    <w:r>
      <w:tab/>
    </w:r>
    <w:r>
      <w:tab/>
    </w:r>
    <w:r w:rsidRPr="00872942">
      <w:t xml:space="preserve">Draft CEPT Brief on AI </w:t>
    </w:r>
    <w:r w:rsidRPr="001C06BF">
      <w:t>7</w:t>
    </w:r>
    <w:r w:rsidRPr="00872942">
      <w:t xml:space="preserve"> - Page </w:t>
    </w:r>
    <w:r w:rsidRPr="005611D0">
      <w:fldChar w:fldCharType="begin"/>
    </w:r>
    <w:r w:rsidRPr="00872942">
      <w:instrText xml:space="preserve"> PAGE  \* Arabic  \* MERGEFORMAT </w:instrText>
    </w:r>
    <w:r w:rsidRPr="005611D0">
      <w:fldChar w:fldCharType="separate"/>
    </w:r>
    <w:r>
      <w:t>1</w:t>
    </w:r>
    <w:r w:rsidRPr="005611D0">
      <w:fldChar w:fldCharType="end"/>
    </w:r>
  </w:p>
  <w:p w14:paraId="0359705C" w14:textId="77777777" w:rsidR="00872942" w:rsidRPr="00872942" w:rsidRDefault="00872942" w:rsidP="00872942"/>
  <w:p w14:paraId="4043676A" w14:textId="19381C7E" w:rsidR="00C51E0A" w:rsidRDefault="00C51E0A">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0568" w14:textId="722F316C" w:rsidR="00872942" w:rsidRPr="00872942" w:rsidRDefault="00872942" w:rsidP="00872942">
    <w:pPr>
      <w:pStyle w:val="ECCpageHeader"/>
    </w:pPr>
    <w:r>
      <w:tab/>
    </w:r>
    <w:r>
      <w:tab/>
    </w:r>
    <w:r w:rsidRPr="00872942">
      <w:t xml:space="preserve">Draft CEPT Brief on AI </w:t>
    </w:r>
    <w:r w:rsidRPr="001C06BF">
      <w:t>7</w:t>
    </w:r>
    <w:r w:rsidRPr="00872942">
      <w:t xml:space="preserve"> - Page </w:t>
    </w:r>
    <w:r w:rsidRPr="005611D0">
      <w:fldChar w:fldCharType="begin"/>
    </w:r>
    <w:r w:rsidRPr="00872942">
      <w:instrText xml:space="preserve"> PAGE  \* Arabic  \* MERGEFORMAT </w:instrText>
    </w:r>
    <w:r w:rsidRPr="005611D0">
      <w:fldChar w:fldCharType="separate"/>
    </w:r>
    <w:r>
      <w:t>1</w:t>
    </w:r>
    <w:r w:rsidRPr="005611D0">
      <w:fldChar w:fldCharType="end"/>
    </w:r>
  </w:p>
  <w:p w14:paraId="2EA32FB0" w14:textId="77777777" w:rsidR="00872942" w:rsidRPr="00872942" w:rsidRDefault="00872942" w:rsidP="00872942"/>
  <w:p w14:paraId="49ED8D0E" w14:textId="77777777" w:rsidR="00C51E0A" w:rsidRDefault="00C51E0A">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EB0E" w14:textId="0402CCE4" w:rsidR="00872942" w:rsidRPr="00872942" w:rsidRDefault="00872942">
    <w:r w:rsidRPr="00872942">
      <w:rPr>
        <w:noProof/>
      </w:rPr>
      <w:drawing>
        <wp:inline distT="0" distB="0" distL="0" distR="0" wp14:anchorId="2E626A58" wp14:editId="1096757B">
          <wp:extent cx="889000" cy="889000"/>
          <wp:effectExtent l="0" t="0" r="6350" b="6350"/>
          <wp:docPr id="7"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ab/>
    </w:r>
    <w:r>
      <w:tab/>
    </w:r>
    <w:r>
      <w:tab/>
    </w:r>
    <w:r>
      <w:tab/>
    </w:r>
    <w:r>
      <w:tab/>
    </w:r>
    <w:r>
      <w:tab/>
    </w:r>
    <w:r>
      <w:tab/>
    </w:r>
    <w:r>
      <w:tab/>
    </w:r>
    <w:r>
      <w:tab/>
    </w:r>
    <w:r>
      <w:tab/>
    </w:r>
    <w:r w:rsidRPr="00872942">
      <w:rPr>
        <w:noProof/>
      </w:rPr>
      <w:drawing>
        <wp:inline distT="0" distB="0" distL="0" distR="0" wp14:anchorId="7725BC68" wp14:editId="7DB9E1FB">
          <wp:extent cx="1461770" cy="546100"/>
          <wp:effectExtent l="0" t="0" r="5080" b="6350"/>
          <wp:docPr id="8"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p w14:paraId="476BF1AA" w14:textId="77777777" w:rsidR="00C51E0A" w:rsidRDefault="00C51E0A">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FE7906"/>
    <w:multiLevelType w:val="hybridMultilevel"/>
    <w:tmpl w:val="491653C0"/>
    <w:lvl w:ilvl="0" w:tplc="E9285F7A">
      <w:start w:val="2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802AA0"/>
    <w:multiLevelType w:val="hybridMultilevel"/>
    <w:tmpl w:val="ED94E88A"/>
    <w:lvl w:ilvl="0" w:tplc="888C043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F4188"/>
    <w:multiLevelType w:val="multilevel"/>
    <w:tmpl w:val="F1FACA8E"/>
    <w:lvl w:ilvl="0">
      <w:start w:val="1"/>
      <w:numFmt w:val="decimal"/>
      <w:pStyle w:val="ECCAnnexheading1"/>
      <w:suff w:val="space"/>
      <w:lvlText w:val="ANNEX %1:"/>
      <w:lvlJc w:val="left"/>
      <w:pPr>
        <w:ind w:left="993"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0A5599"/>
    <w:multiLevelType w:val="hybridMultilevel"/>
    <w:tmpl w:val="D422ABA6"/>
    <w:lvl w:ilvl="0" w:tplc="91A0317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A7C33"/>
    <w:multiLevelType w:val="hybridMultilevel"/>
    <w:tmpl w:val="81E804EC"/>
    <w:lvl w:ilvl="0" w:tplc="F3F6E784">
      <w:start w:val="1"/>
      <w:numFmt w:val="decimal"/>
      <w:pStyle w:val="ECCEditorsNote"/>
      <w:lvlText w:val="Editor's Note %1:"/>
      <w:lvlJc w:val="left"/>
      <w:pPr>
        <w:tabs>
          <w:tab w:val="num" w:pos="4079"/>
        </w:tabs>
        <w:ind w:left="407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2967" w:hanging="360"/>
      </w:pPr>
    </w:lvl>
    <w:lvl w:ilvl="2" w:tplc="0407001B" w:tentative="1">
      <w:start w:val="1"/>
      <w:numFmt w:val="lowerRoman"/>
      <w:lvlText w:val="%3."/>
      <w:lvlJc w:val="right"/>
      <w:pPr>
        <w:ind w:left="3687" w:hanging="180"/>
      </w:pPr>
    </w:lvl>
    <w:lvl w:ilvl="3" w:tplc="0407000F" w:tentative="1">
      <w:start w:val="1"/>
      <w:numFmt w:val="decimal"/>
      <w:lvlText w:val="%4."/>
      <w:lvlJc w:val="left"/>
      <w:pPr>
        <w:ind w:left="4407" w:hanging="360"/>
      </w:pPr>
    </w:lvl>
    <w:lvl w:ilvl="4" w:tplc="04070019" w:tentative="1">
      <w:start w:val="1"/>
      <w:numFmt w:val="lowerLetter"/>
      <w:lvlText w:val="%5."/>
      <w:lvlJc w:val="left"/>
      <w:pPr>
        <w:ind w:left="5127" w:hanging="360"/>
      </w:pPr>
    </w:lvl>
    <w:lvl w:ilvl="5" w:tplc="0407001B" w:tentative="1">
      <w:start w:val="1"/>
      <w:numFmt w:val="lowerRoman"/>
      <w:lvlText w:val="%6."/>
      <w:lvlJc w:val="right"/>
      <w:pPr>
        <w:ind w:left="5847" w:hanging="180"/>
      </w:pPr>
    </w:lvl>
    <w:lvl w:ilvl="6" w:tplc="0407000F" w:tentative="1">
      <w:start w:val="1"/>
      <w:numFmt w:val="decimal"/>
      <w:lvlText w:val="%7."/>
      <w:lvlJc w:val="left"/>
      <w:pPr>
        <w:ind w:left="6567" w:hanging="360"/>
      </w:pPr>
    </w:lvl>
    <w:lvl w:ilvl="7" w:tplc="04070019" w:tentative="1">
      <w:start w:val="1"/>
      <w:numFmt w:val="lowerLetter"/>
      <w:lvlText w:val="%8."/>
      <w:lvlJc w:val="left"/>
      <w:pPr>
        <w:ind w:left="7287" w:hanging="360"/>
      </w:pPr>
    </w:lvl>
    <w:lvl w:ilvl="8" w:tplc="0407001B" w:tentative="1">
      <w:start w:val="1"/>
      <w:numFmt w:val="lowerRoman"/>
      <w:lvlText w:val="%9."/>
      <w:lvlJc w:val="right"/>
      <w:pPr>
        <w:ind w:left="8007" w:hanging="180"/>
      </w:pPr>
    </w:lvl>
  </w:abstractNum>
  <w:abstractNum w:abstractNumId="6" w15:restartNumberingAfterBreak="0">
    <w:nsid w:val="2CD65A76"/>
    <w:multiLevelType w:val="hybridMultilevel"/>
    <w:tmpl w:val="ACC8279A"/>
    <w:lvl w:ilvl="0" w:tplc="894CCC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3BBE1A4D"/>
    <w:multiLevelType w:val="hybridMultilevel"/>
    <w:tmpl w:val="CCD6C594"/>
    <w:lvl w:ilvl="0" w:tplc="0598DAA0">
      <w:start w:val="1"/>
      <w:numFmt w:val="bullet"/>
      <w:lvlText w:val="-"/>
      <w:lvlJc w:val="left"/>
      <w:pPr>
        <w:ind w:left="280" w:hanging="360"/>
      </w:pPr>
      <w:rPr>
        <w:rFonts w:ascii="Malgun Gothic" w:eastAsia="Malgun Gothic" w:hAnsi="Malgun Gothic" w:cstheme="minorBidi" w:hint="eastAsia"/>
        <w:color w:val="auto"/>
      </w:rPr>
    </w:lvl>
    <w:lvl w:ilvl="1" w:tplc="722A45E8">
      <w:start w:val="2"/>
      <w:numFmt w:val="bullet"/>
      <w:lvlText w:val="-"/>
      <w:lvlJc w:val="left"/>
      <w:pPr>
        <w:ind w:left="720" w:hanging="400"/>
      </w:pPr>
      <w:rPr>
        <w:rFonts w:ascii="Times New Roman" w:eastAsia="GulimChe" w:hAnsi="Times New Roman" w:cs="Times New Roman" w:hint="default"/>
        <w:sz w:val="24"/>
      </w:rPr>
    </w:lvl>
    <w:lvl w:ilvl="2" w:tplc="04090005">
      <w:start w:val="1"/>
      <w:numFmt w:val="bullet"/>
      <w:lvlText w:val=""/>
      <w:lvlJc w:val="left"/>
      <w:pPr>
        <w:ind w:left="1120" w:hanging="400"/>
      </w:pPr>
      <w:rPr>
        <w:rFonts w:ascii="Wingdings" w:hAnsi="Wingdings" w:hint="default"/>
      </w:rPr>
    </w:lvl>
    <w:lvl w:ilvl="3" w:tplc="14090003">
      <w:start w:val="1"/>
      <w:numFmt w:val="bullet"/>
      <w:lvlText w:val="o"/>
      <w:lvlJc w:val="left"/>
      <w:pPr>
        <w:ind w:left="1520" w:hanging="400"/>
      </w:pPr>
      <w:rPr>
        <w:rFonts w:ascii="Courier New" w:hAnsi="Courier New" w:cs="Courier New" w:hint="default"/>
      </w:rPr>
    </w:lvl>
    <w:lvl w:ilvl="4" w:tplc="04090003" w:tentative="1">
      <w:start w:val="1"/>
      <w:numFmt w:val="bullet"/>
      <w:lvlText w:val=""/>
      <w:lvlJc w:val="left"/>
      <w:pPr>
        <w:ind w:left="1920" w:hanging="400"/>
      </w:pPr>
      <w:rPr>
        <w:rFonts w:ascii="Wingdings" w:hAnsi="Wingdings" w:hint="default"/>
      </w:rPr>
    </w:lvl>
    <w:lvl w:ilvl="5" w:tplc="04090005" w:tentative="1">
      <w:start w:val="1"/>
      <w:numFmt w:val="bullet"/>
      <w:lvlText w:val=""/>
      <w:lvlJc w:val="left"/>
      <w:pPr>
        <w:ind w:left="2320" w:hanging="400"/>
      </w:pPr>
      <w:rPr>
        <w:rFonts w:ascii="Wingdings" w:hAnsi="Wingdings" w:hint="default"/>
      </w:rPr>
    </w:lvl>
    <w:lvl w:ilvl="6" w:tplc="04090001" w:tentative="1">
      <w:start w:val="1"/>
      <w:numFmt w:val="bullet"/>
      <w:lvlText w:val=""/>
      <w:lvlJc w:val="left"/>
      <w:pPr>
        <w:ind w:left="2720" w:hanging="400"/>
      </w:pPr>
      <w:rPr>
        <w:rFonts w:ascii="Wingdings" w:hAnsi="Wingdings" w:hint="default"/>
      </w:rPr>
    </w:lvl>
    <w:lvl w:ilvl="7" w:tplc="04090003" w:tentative="1">
      <w:start w:val="1"/>
      <w:numFmt w:val="bullet"/>
      <w:lvlText w:val=""/>
      <w:lvlJc w:val="left"/>
      <w:pPr>
        <w:ind w:left="3120" w:hanging="400"/>
      </w:pPr>
      <w:rPr>
        <w:rFonts w:ascii="Wingdings" w:hAnsi="Wingdings" w:hint="default"/>
      </w:rPr>
    </w:lvl>
    <w:lvl w:ilvl="8" w:tplc="04090005" w:tentative="1">
      <w:start w:val="1"/>
      <w:numFmt w:val="bullet"/>
      <w:lvlText w:val=""/>
      <w:lvlJc w:val="left"/>
      <w:pPr>
        <w:ind w:left="3520" w:hanging="400"/>
      </w:pPr>
      <w:rPr>
        <w:rFonts w:ascii="Wingdings" w:hAnsi="Wingdings" w:hint="default"/>
      </w:rPr>
    </w:lvl>
  </w:abstractNum>
  <w:abstractNum w:abstractNumId="9" w15:restartNumberingAfterBreak="0">
    <w:nsid w:val="3D163F7A"/>
    <w:multiLevelType w:val="multilevel"/>
    <w:tmpl w:val="75000B56"/>
    <w:lvl w:ilvl="0">
      <w:start w:val="1"/>
      <w:numFmt w:val="decimal"/>
      <w:pStyle w:val="Titre1"/>
      <w:lvlText w:val="%1"/>
      <w:lvlJc w:val="left"/>
      <w:pPr>
        <w:tabs>
          <w:tab w:val="num" w:pos="432"/>
        </w:tabs>
        <w:ind w:left="432" w:hanging="432"/>
      </w:pPr>
      <w:rPr>
        <w:rFonts w:ascii="Arial" w:hAnsi="Arial" w:hint="default"/>
        <w:b/>
        <w:i w:val="0"/>
        <w:color w:val="D2232A"/>
        <w:sz w:val="20"/>
        <w:szCs w:val="20"/>
        <w:lang w:val="en-GB"/>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0"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FA3746"/>
    <w:multiLevelType w:val="hybridMultilevel"/>
    <w:tmpl w:val="CC127A4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7B0D70B2"/>
    <w:multiLevelType w:val="hybridMultilevel"/>
    <w:tmpl w:val="C6D0A46C"/>
    <w:lvl w:ilvl="0" w:tplc="C6B4A2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2"/>
  </w:num>
  <w:num w:numId="5">
    <w:abstractNumId w:val="7"/>
  </w:num>
  <w:num w:numId="6">
    <w:abstractNumId w:val="10"/>
  </w:num>
  <w:num w:numId="7">
    <w:abstractNumId w:val="9"/>
  </w:num>
  <w:num w:numId="8">
    <w:abstractNumId w:val="9"/>
    <w:lvlOverride w:ilvl="0">
      <w:startOverride w:val="1"/>
    </w:lvlOverride>
  </w:num>
  <w:num w:numId="9">
    <w:abstractNumId w:val="9"/>
    <w:lvlOverride w:ilvl="0">
      <w:startOverride w:val="1"/>
    </w:lvlOverride>
  </w:num>
  <w:num w:numId="10">
    <w:abstractNumId w:val="9"/>
    <w:lvlOverride w:ilvl="0">
      <w:startOverride w:val="2"/>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de-DE" w:vendorID="64" w:dllVersion="6" w:nlCheck="1" w:checkStyle="1"/>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a-DK" w:vendorID="64" w:dllVersion="0" w:nlCheck="1" w:checkStyle="0"/>
  <w:activeWritingStyle w:appName="MSWord" w:lang="de-DE" w:vendorID="64" w:dllVersion="4096" w:nlCheck="1" w:checkStyle="0"/>
  <w:activeWritingStyle w:appName="MSWord" w:lang="nb-NO" w:vendorID="64" w:dllVersion="0" w:nlCheck="1" w:checkStyle="0"/>
  <w:activeWritingStyle w:appName="MSWord" w:lang="de-DE"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AES" w:cryptAlgorithmClass="hash" w:cryptAlgorithmType="typeAny" w:cryptAlgorithmSid="14" w:cryptSpinCount="100000" w:hash="JSSwv0CJcH7/Qirr/vY4qgpTTsDm3T9TgRP7OMGAKzzZCWMqTX2WTqf4hNB5jipUOryC8G5WJmy6JNMObkB0Dg==" w:salt="oCjda9rQoHOyn5yv+PmLRw=="/>
  <w:autoFormatOverride/>
  <w:styleLockTheme/>
  <w:styleLockQFSet/>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2E"/>
    <w:rsid w:val="00001FCF"/>
    <w:rsid w:val="00003041"/>
    <w:rsid w:val="00003BBC"/>
    <w:rsid w:val="00003F15"/>
    <w:rsid w:val="00003FAA"/>
    <w:rsid w:val="00005FB3"/>
    <w:rsid w:val="00007021"/>
    <w:rsid w:val="0000729E"/>
    <w:rsid w:val="00007E14"/>
    <w:rsid w:val="00010850"/>
    <w:rsid w:val="00011BCD"/>
    <w:rsid w:val="00011D7E"/>
    <w:rsid w:val="0001298D"/>
    <w:rsid w:val="000129CC"/>
    <w:rsid w:val="000140B7"/>
    <w:rsid w:val="000158BD"/>
    <w:rsid w:val="00015C5D"/>
    <w:rsid w:val="0001679C"/>
    <w:rsid w:val="000214A3"/>
    <w:rsid w:val="000215AF"/>
    <w:rsid w:val="00021A74"/>
    <w:rsid w:val="00022393"/>
    <w:rsid w:val="000223BD"/>
    <w:rsid w:val="00022AFE"/>
    <w:rsid w:val="0002368C"/>
    <w:rsid w:val="00023C39"/>
    <w:rsid w:val="0002450B"/>
    <w:rsid w:val="00024D4B"/>
    <w:rsid w:val="00026ACB"/>
    <w:rsid w:val="0002792B"/>
    <w:rsid w:val="00031D51"/>
    <w:rsid w:val="00032D8F"/>
    <w:rsid w:val="00033B25"/>
    <w:rsid w:val="00034B2C"/>
    <w:rsid w:val="000357DD"/>
    <w:rsid w:val="00035ACE"/>
    <w:rsid w:val="00037FA4"/>
    <w:rsid w:val="000408C7"/>
    <w:rsid w:val="00040D5A"/>
    <w:rsid w:val="00041677"/>
    <w:rsid w:val="00041A18"/>
    <w:rsid w:val="00042089"/>
    <w:rsid w:val="0004323C"/>
    <w:rsid w:val="00043510"/>
    <w:rsid w:val="00043ABF"/>
    <w:rsid w:val="000449CA"/>
    <w:rsid w:val="0004598B"/>
    <w:rsid w:val="00045AA7"/>
    <w:rsid w:val="00045AD0"/>
    <w:rsid w:val="00045E48"/>
    <w:rsid w:val="00046AB1"/>
    <w:rsid w:val="00046F44"/>
    <w:rsid w:val="000519F5"/>
    <w:rsid w:val="00052CAE"/>
    <w:rsid w:val="00053BF5"/>
    <w:rsid w:val="00053D61"/>
    <w:rsid w:val="0005462C"/>
    <w:rsid w:val="000611F2"/>
    <w:rsid w:val="000612B3"/>
    <w:rsid w:val="00061762"/>
    <w:rsid w:val="00061D2D"/>
    <w:rsid w:val="00062133"/>
    <w:rsid w:val="00062CB1"/>
    <w:rsid w:val="000653BB"/>
    <w:rsid w:val="000660F5"/>
    <w:rsid w:val="00067793"/>
    <w:rsid w:val="000701A5"/>
    <w:rsid w:val="00070E6E"/>
    <w:rsid w:val="00073580"/>
    <w:rsid w:val="00075396"/>
    <w:rsid w:val="00075906"/>
    <w:rsid w:val="00076404"/>
    <w:rsid w:val="000779AB"/>
    <w:rsid w:val="00080D4D"/>
    <w:rsid w:val="00081288"/>
    <w:rsid w:val="00082DD7"/>
    <w:rsid w:val="0008378E"/>
    <w:rsid w:val="00085514"/>
    <w:rsid w:val="000864AB"/>
    <w:rsid w:val="00086A4F"/>
    <w:rsid w:val="00090041"/>
    <w:rsid w:val="00090E58"/>
    <w:rsid w:val="0009157C"/>
    <w:rsid w:val="00091E34"/>
    <w:rsid w:val="000925BC"/>
    <w:rsid w:val="000927DD"/>
    <w:rsid w:val="0009347F"/>
    <w:rsid w:val="00095620"/>
    <w:rsid w:val="0009573D"/>
    <w:rsid w:val="000977D5"/>
    <w:rsid w:val="0009780C"/>
    <w:rsid w:val="00097D7A"/>
    <w:rsid w:val="00097F77"/>
    <w:rsid w:val="000A0ED5"/>
    <w:rsid w:val="000A29BC"/>
    <w:rsid w:val="000A3940"/>
    <w:rsid w:val="000A3A15"/>
    <w:rsid w:val="000A5E90"/>
    <w:rsid w:val="000A6285"/>
    <w:rsid w:val="000A7A35"/>
    <w:rsid w:val="000B00C6"/>
    <w:rsid w:val="000B0780"/>
    <w:rsid w:val="000B0AE3"/>
    <w:rsid w:val="000B0C7D"/>
    <w:rsid w:val="000B1855"/>
    <w:rsid w:val="000B2156"/>
    <w:rsid w:val="000B5026"/>
    <w:rsid w:val="000B5210"/>
    <w:rsid w:val="000B69EC"/>
    <w:rsid w:val="000B743E"/>
    <w:rsid w:val="000C021E"/>
    <w:rsid w:val="000C028F"/>
    <w:rsid w:val="000C03CB"/>
    <w:rsid w:val="000C1016"/>
    <w:rsid w:val="000C3684"/>
    <w:rsid w:val="000C4A9F"/>
    <w:rsid w:val="000C5CB6"/>
    <w:rsid w:val="000D0D34"/>
    <w:rsid w:val="000D1710"/>
    <w:rsid w:val="000D3775"/>
    <w:rsid w:val="000D380A"/>
    <w:rsid w:val="000D3936"/>
    <w:rsid w:val="000D4A81"/>
    <w:rsid w:val="000D5F13"/>
    <w:rsid w:val="000D702C"/>
    <w:rsid w:val="000D7101"/>
    <w:rsid w:val="000D7471"/>
    <w:rsid w:val="000D7830"/>
    <w:rsid w:val="000D7A37"/>
    <w:rsid w:val="000D7C1F"/>
    <w:rsid w:val="000E22B5"/>
    <w:rsid w:val="000E244A"/>
    <w:rsid w:val="000E2F97"/>
    <w:rsid w:val="000E42F5"/>
    <w:rsid w:val="000E44E1"/>
    <w:rsid w:val="000E4820"/>
    <w:rsid w:val="000E712D"/>
    <w:rsid w:val="000F0594"/>
    <w:rsid w:val="000F0A38"/>
    <w:rsid w:val="000F1465"/>
    <w:rsid w:val="000F15FC"/>
    <w:rsid w:val="000F1620"/>
    <w:rsid w:val="000F1725"/>
    <w:rsid w:val="000F24F5"/>
    <w:rsid w:val="000F2C51"/>
    <w:rsid w:val="000F3CF0"/>
    <w:rsid w:val="000F3F0B"/>
    <w:rsid w:val="000F57E5"/>
    <w:rsid w:val="000F6867"/>
    <w:rsid w:val="000F70BA"/>
    <w:rsid w:val="000F7395"/>
    <w:rsid w:val="000F74A8"/>
    <w:rsid w:val="001006CA"/>
    <w:rsid w:val="0010077A"/>
    <w:rsid w:val="00100953"/>
    <w:rsid w:val="00100D20"/>
    <w:rsid w:val="00100F8B"/>
    <w:rsid w:val="001026C5"/>
    <w:rsid w:val="00103554"/>
    <w:rsid w:val="00104CFC"/>
    <w:rsid w:val="00105130"/>
    <w:rsid w:val="00105218"/>
    <w:rsid w:val="001058A8"/>
    <w:rsid w:val="00106D03"/>
    <w:rsid w:val="00107DDA"/>
    <w:rsid w:val="00110306"/>
    <w:rsid w:val="0011132E"/>
    <w:rsid w:val="0011225E"/>
    <w:rsid w:val="00112520"/>
    <w:rsid w:val="00112CD8"/>
    <w:rsid w:val="0011331D"/>
    <w:rsid w:val="00114C23"/>
    <w:rsid w:val="00115161"/>
    <w:rsid w:val="00117A7E"/>
    <w:rsid w:val="00121192"/>
    <w:rsid w:val="00121252"/>
    <w:rsid w:val="001226C3"/>
    <w:rsid w:val="00126456"/>
    <w:rsid w:val="00127AD0"/>
    <w:rsid w:val="001312CF"/>
    <w:rsid w:val="00134AA7"/>
    <w:rsid w:val="00136149"/>
    <w:rsid w:val="0013659F"/>
    <w:rsid w:val="0013687D"/>
    <w:rsid w:val="00136B08"/>
    <w:rsid w:val="00136CF8"/>
    <w:rsid w:val="001405E3"/>
    <w:rsid w:val="00140F4B"/>
    <w:rsid w:val="00141FF9"/>
    <w:rsid w:val="00142376"/>
    <w:rsid w:val="0014268E"/>
    <w:rsid w:val="0014449E"/>
    <w:rsid w:val="0014592E"/>
    <w:rsid w:val="00145CB9"/>
    <w:rsid w:val="00146C3E"/>
    <w:rsid w:val="0014729D"/>
    <w:rsid w:val="00150146"/>
    <w:rsid w:val="001507AC"/>
    <w:rsid w:val="0015245D"/>
    <w:rsid w:val="00153D82"/>
    <w:rsid w:val="00154379"/>
    <w:rsid w:val="00155021"/>
    <w:rsid w:val="00155561"/>
    <w:rsid w:val="00155A96"/>
    <w:rsid w:val="00156BAB"/>
    <w:rsid w:val="0015766B"/>
    <w:rsid w:val="001603FF"/>
    <w:rsid w:val="00163611"/>
    <w:rsid w:val="00163A14"/>
    <w:rsid w:val="00164423"/>
    <w:rsid w:val="001650A7"/>
    <w:rsid w:val="00166980"/>
    <w:rsid w:val="00166D51"/>
    <w:rsid w:val="001679CB"/>
    <w:rsid w:val="001701BA"/>
    <w:rsid w:val="0017456E"/>
    <w:rsid w:val="001751C1"/>
    <w:rsid w:val="00175B92"/>
    <w:rsid w:val="00175D60"/>
    <w:rsid w:val="00176F47"/>
    <w:rsid w:val="00177FE2"/>
    <w:rsid w:val="00180DEA"/>
    <w:rsid w:val="0018136E"/>
    <w:rsid w:val="0018165B"/>
    <w:rsid w:val="00182818"/>
    <w:rsid w:val="00182C54"/>
    <w:rsid w:val="00183AE8"/>
    <w:rsid w:val="00183D4D"/>
    <w:rsid w:val="00183FE0"/>
    <w:rsid w:val="00184A0C"/>
    <w:rsid w:val="0018553F"/>
    <w:rsid w:val="00185605"/>
    <w:rsid w:val="00185826"/>
    <w:rsid w:val="0018582A"/>
    <w:rsid w:val="001915CB"/>
    <w:rsid w:val="0019171C"/>
    <w:rsid w:val="00191FB6"/>
    <w:rsid w:val="0019284E"/>
    <w:rsid w:val="00193C5F"/>
    <w:rsid w:val="0019429C"/>
    <w:rsid w:val="00195052"/>
    <w:rsid w:val="00196EDC"/>
    <w:rsid w:val="001A0267"/>
    <w:rsid w:val="001A095C"/>
    <w:rsid w:val="001A0EB8"/>
    <w:rsid w:val="001A21B4"/>
    <w:rsid w:val="001A29FB"/>
    <w:rsid w:val="001A38B4"/>
    <w:rsid w:val="001A4111"/>
    <w:rsid w:val="001A7228"/>
    <w:rsid w:val="001A7CEA"/>
    <w:rsid w:val="001B0352"/>
    <w:rsid w:val="001B077E"/>
    <w:rsid w:val="001B0A5D"/>
    <w:rsid w:val="001B0CA4"/>
    <w:rsid w:val="001B12A2"/>
    <w:rsid w:val="001B3613"/>
    <w:rsid w:val="001B3970"/>
    <w:rsid w:val="001B4688"/>
    <w:rsid w:val="001B46E5"/>
    <w:rsid w:val="001B4D85"/>
    <w:rsid w:val="001B69FE"/>
    <w:rsid w:val="001B7894"/>
    <w:rsid w:val="001C06BF"/>
    <w:rsid w:val="001C1247"/>
    <w:rsid w:val="001C2083"/>
    <w:rsid w:val="001C259D"/>
    <w:rsid w:val="001C2688"/>
    <w:rsid w:val="001C2E22"/>
    <w:rsid w:val="001C5656"/>
    <w:rsid w:val="001C594A"/>
    <w:rsid w:val="001C5C1C"/>
    <w:rsid w:val="001C7400"/>
    <w:rsid w:val="001C740E"/>
    <w:rsid w:val="001D0437"/>
    <w:rsid w:val="001D0C83"/>
    <w:rsid w:val="001D15AA"/>
    <w:rsid w:val="001D323F"/>
    <w:rsid w:val="001D334F"/>
    <w:rsid w:val="001D4247"/>
    <w:rsid w:val="001D4FCE"/>
    <w:rsid w:val="001D5352"/>
    <w:rsid w:val="001D5D99"/>
    <w:rsid w:val="001D6189"/>
    <w:rsid w:val="001D6FAE"/>
    <w:rsid w:val="001D7EAF"/>
    <w:rsid w:val="001E02F8"/>
    <w:rsid w:val="001E1BC8"/>
    <w:rsid w:val="001E3113"/>
    <w:rsid w:val="001E3C34"/>
    <w:rsid w:val="001E4818"/>
    <w:rsid w:val="001E53BA"/>
    <w:rsid w:val="001E685C"/>
    <w:rsid w:val="001E7EF1"/>
    <w:rsid w:val="001F27C7"/>
    <w:rsid w:val="001F4399"/>
    <w:rsid w:val="001F4788"/>
    <w:rsid w:val="001F4C80"/>
    <w:rsid w:val="001F5380"/>
    <w:rsid w:val="001F5444"/>
    <w:rsid w:val="001F5843"/>
    <w:rsid w:val="002000F1"/>
    <w:rsid w:val="002002E2"/>
    <w:rsid w:val="0020079A"/>
    <w:rsid w:val="00200C51"/>
    <w:rsid w:val="00202052"/>
    <w:rsid w:val="00202261"/>
    <w:rsid w:val="0020250F"/>
    <w:rsid w:val="00203A44"/>
    <w:rsid w:val="002045D4"/>
    <w:rsid w:val="00210988"/>
    <w:rsid w:val="0021138C"/>
    <w:rsid w:val="00213259"/>
    <w:rsid w:val="00214067"/>
    <w:rsid w:val="00214D4F"/>
    <w:rsid w:val="00214F1D"/>
    <w:rsid w:val="00216620"/>
    <w:rsid w:val="00217208"/>
    <w:rsid w:val="00220194"/>
    <w:rsid w:val="002208C7"/>
    <w:rsid w:val="00222680"/>
    <w:rsid w:val="00223141"/>
    <w:rsid w:val="00223A7A"/>
    <w:rsid w:val="00226070"/>
    <w:rsid w:val="00226B9F"/>
    <w:rsid w:val="0022786E"/>
    <w:rsid w:val="00227B07"/>
    <w:rsid w:val="0023017F"/>
    <w:rsid w:val="00230421"/>
    <w:rsid w:val="002309C8"/>
    <w:rsid w:val="00230B37"/>
    <w:rsid w:val="00231275"/>
    <w:rsid w:val="00232966"/>
    <w:rsid w:val="00235592"/>
    <w:rsid w:val="00236978"/>
    <w:rsid w:val="00243522"/>
    <w:rsid w:val="0024491C"/>
    <w:rsid w:val="00244B04"/>
    <w:rsid w:val="0024715F"/>
    <w:rsid w:val="0025074F"/>
    <w:rsid w:val="00251E28"/>
    <w:rsid w:val="00254368"/>
    <w:rsid w:val="002543B0"/>
    <w:rsid w:val="00256448"/>
    <w:rsid w:val="002569B1"/>
    <w:rsid w:val="002570D2"/>
    <w:rsid w:val="00257AB2"/>
    <w:rsid w:val="00257B6F"/>
    <w:rsid w:val="002620A2"/>
    <w:rsid w:val="0026304D"/>
    <w:rsid w:val="00263633"/>
    <w:rsid w:val="00263F83"/>
    <w:rsid w:val="00264202"/>
    <w:rsid w:val="00266160"/>
    <w:rsid w:val="002661B5"/>
    <w:rsid w:val="00266FCE"/>
    <w:rsid w:val="00271A19"/>
    <w:rsid w:val="0027241D"/>
    <w:rsid w:val="00272CD4"/>
    <w:rsid w:val="00273145"/>
    <w:rsid w:val="00273354"/>
    <w:rsid w:val="00273620"/>
    <w:rsid w:val="00273EF7"/>
    <w:rsid w:val="00274F84"/>
    <w:rsid w:val="00275120"/>
    <w:rsid w:val="002761B6"/>
    <w:rsid w:val="0027795E"/>
    <w:rsid w:val="0028060B"/>
    <w:rsid w:val="00280AFD"/>
    <w:rsid w:val="00280DA2"/>
    <w:rsid w:val="0028120C"/>
    <w:rsid w:val="00281C84"/>
    <w:rsid w:val="00282191"/>
    <w:rsid w:val="0028312B"/>
    <w:rsid w:val="00283279"/>
    <w:rsid w:val="00283553"/>
    <w:rsid w:val="00284073"/>
    <w:rsid w:val="002859AE"/>
    <w:rsid w:val="0028708B"/>
    <w:rsid w:val="00290CF6"/>
    <w:rsid w:val="00290DF8"/>
    <w:rsid w:val="00293920"/>
    <w:rsid w:val="00294B28"/>
    <w:rsid w:val="00294BED"/>
    <w:rsid w:val="00295827"/>
    <w:rsid w:val="00295C3A"/>
    <w:rsid w:val="00295C80"/>
    <w:rsid w:val="00295F16"/>
    <w:rsid w:val="0029605C"/>
    <w:rsid w:val="0029616F"/>
    <w:rsid w:val="002A1DA9"/>
    <w:rsid w:val="002A1EF0"/>
    <w:rsid w:val="002A2A28"/>
    <w:rsid w:val="002A3EFF"/>
    <w:rsid w:val="002A3F1C"/>
    <w:rsid w:val="002A5078"/>
    <w:rsid w:val="002A5795"/>
    <w:rsid w:val="002A70C9"/>
    <w:rsid w:val="002A7AF1"/>
    <w:rsid w:val="002B1FB0"/>
    <w:rsid w:val="002B4FB3"/>
    <w:rsid w:val="002B5A83"/>
    <w:rsid w:val="002B6218"/>
    <w:rsid w:val="002B738F"/>
    <w:rsid w:val="002C17E4"/>
    <w:rsid w:val="002C1A41"/>
    <w:rsid w:val="002C2603"/>
    <w:rsid w:val="002C333A"/>
    <w:rsid w:val="002C4FB0"/>
    <w:rsid w:val="002C5C63"/>
    <w:rsid w:val="002C6952"/>
    <w:rsid w:val="002C6999"/>
    <w:rsid w:val="002D0725"/>
    <w:rsid w:val="002D1D51"/>
    <w:rsid w:val="002D1FA9"/>
    <w:rsid w:val="002D2226"/>
    <w:rsid w:val="002D229D"/>
    <w:rsid w:val="002D2518"/>
    <w:rsid w:val="002D2C48"/>
    <w:rsid w:val="002D50A3"/>
    <w:rsid w:val="002D5A66"/>
    <w:rsid w:val="002D61E5"/>
    <w:rsid w:val="002D6680"/>
    <w:rsid w:val="002D72E4"/>
    <w:rsid w:val="002D7D85"/>
    <w:rsid w:val="002E13AE"/>
    <w:rsid w:val="002E1D79"/>
    <w:rsid w:val="002E323A"/>
    <w:rsid w:val="002E420B"/>
    <w:rsid w:val="002E461F"/>
    <w:rsid w:val="002E60B3"/>
    <w:rsid w:val="002E68DD"/>
    <w:rsid w:val="002E69F3"/>
    <w:rsid w:val="002E6F41"/>
    <w:rsid w:val="002E786C"/>
    <w:rsid w:val="002F0229"/>
    <w:rsid w:val="002F027C"/>
    <w:rsid w:val="002F1E6A"/>
    <w:rsid w:val="002F2251"/>
    <w:rsid w:val="002F28B2"/>
    <w:rsid w:val="002F33AB"/>
    <w:rsid w:val="002F447F"/>
    <w:rsid w:val="002F4734"/>
    <w:rsid w:val="002F4A68"/>
    <w:rsid w:val="002F5EFC"/>
    <w:rsid w:val="003010E6"/>
    <w:rsid w:val="00301238"/>
    <w:rsid w:val="00301C32"/>
    <w:rsid w:val="00301E58"/>
    <w:rsid w:val="0030220D"/>
    <w:rsid w:val="0030302F"/>
    <w:rsid w:val="003031DA"/>
    <w:rsid w:val="0030425C"/>
    <w:rsid w:val="00304FAF"/>
    <w:rsid w:val="003058BE"/>
    <w:rsid w:val="003058F3"/>
    <w:rsid w:val="003059CC"/>
    <w:rsid w:val="00305BBA"/>
    <w:rsid w:val="00306BA4"/>
    <w:rsid w:val="003075A8"/>
    <w:rsid w:val="00307A79"/>
    <w:rsid w:val="003101F0"/>
    <w:rsid w:val="0031071D"/>
    <w:rsid w:val="0031223B"/>
    <w:rsid w:val="00313B71"/>
    <w:rsid w:val="003146FB"/>
    <w:rsid w:val="00314775"/>
    <w:rsid w:val="003158EB"/>
    <w:rsid w:val="00315F07"/>
    <w:rsid w:val="003162B7"/>
    <w:rsid w:val="0031708C"/>
    <w:rsid w:val="00321FC2"/>
    <w:rsid w:val="003226B8"/>
    <w:rsid w:val="00322E6A"/>
    <w:rsid w:val="003242A4"/>
    <w:rsid w:val="003244AA"/>
    <w:rsid w:val="00324CCF"/>
    <w:rsid w:val="0032512C"/>
    <w:rsid w:val="00330DC0"/>
    <w:rsid w:val="003314A0"/>
    <w:rsid w:val="00331C06"/>
    <w:rsid w:val="003329FB"/>
    <w:rsid w:val="003336BC"/>
    <w:rsid w:val="00333AC1"/>
    <w:rsid w:val="00333B80"/>
    <w:rsid w:val="00334B4C"/>
    <w:rsid w:val="00335783"/>
    <w:rsid w:val="003357A6"/>
    <w:rsid w:val="00335DF3"/>
    <w:rsid w:val="003363BA"/>
    <w:rsid w:val="003364F5"/>
    <w:rsid w:val="00336D52"/>
    <w:rsid w:val="003376F6"/>
    <w:rsid w:val="003378E6"/>
    <w:rsid w:val="003400A0"/>
    <w:rsid w:val="003411CE"/>
    <w:rsid w:val="003419EF"/>
    <w:rsid w:val="00341BC1"/>
    <w:rsid w:val="0034436F"/>
    <w:rsid w:val="0035020B"/>
    <w:rsid w:val="00351940"/>
    <w:rsid w:val="003522CF"/>
    <w:rsid w:val="00352948"/>
    <w:rsid w:val="00353254"/>
    <w:rsid w:val="00353B8F"/>
    <w:rsid w:val="00354844"/>
    <w:rsid w:val="00355738"/>
    <w:rsid w:val="003559C0"/>
    <w:rsid w:val="0035640A"/>
    <w:rsid w:val="003567F9"/>
    <w:rsid w:val="00356DD9"/>
    <w:rsid w:val="00356FE0"/>
    <w:rsid w:val="0035711B"/>
    <w:rsid w:val="00357848"/>
    <w:rsid w:val="00360E0F"/>
    <w:rsid w:val="003615B0"/>
    <w:rsid w:val="00361E54"/>
    <w:rsid w:val="003630AE"/>
    <w:rsid w:val="0036374C"/>
    <w:rsid w:val="00363A2C"/>
    <w:rsid w:val="0036489A"/>
    <w:rsid w:val="003662EE"/>
    <w:rsid w:val="0036633A"/>
    <w:rsid w:val="003706CC"/>
    <w:rsid w:val="00370A0C"/>
    <w:rsid w:val="003737AC"/>
    <w:rsid w:val="00373A6A"/>
    <w:rsid w:val="003740BD"/>
    <w:rsid w:val="00374ACF"/>
    <w:rsid w:val="00374FC0"/>
    <w:rsid w:val="00375DFE"/>
    <w:rsid w:val="00376179"/>
    <w:rsid w:val="003770D4"/>
    <w:rsid w:val="003771D5"/>
    <w:rsid w:val="00380EBA"/>
    <w:rsid w:val="00381E5E"/>
    <w:rsid w:val="0038358E"/>
    <w:rsid w:val="00385921"/>
    <w:rsid w:val="003859F7"/>
    <w:rsid w:val="00386E60"/>
    <w:rsid w:val="00386E9D"/>
    <w:rsid w:val="00387AA1"/>
    <w:rsid w:val="00390207"/>
    <w:rsid w:val="00391A01"/>
    <w:rsid w:val="00392682"/>
    <w:rsid w:val="003950A9"/>
    <w:rsid w:val="003A1819"/>
    <w:rsid w:val="003A1A68"/>
    <w:rsid w:val="003A3B66"/>
    <w:rsid w:val="003A43A0"/>
    <w:rsid w:val="003A5711"/>
    <w:rsid w:val="003A68AA"/>
    <w:rsid w:val="003A68D5"/>
    <w:rsid w:val="003B054F"/>
    <w:rsid w:val="003B0606"/>
    <w:rsid w:val="003B18A0"/>
    <w:rsid w:val="003B1A02"/>
    <w:rsid w:val="003B1A03"/>
    <w:rsid w:val="003B25E4"/>
    <w:rsid w:val="003B2719"/>
    <w:rsid w:val="003B309E"/>
    <w:rsid w:val="003B3B40"/>
    <w:rsid w:val="003B432A"/>
    <w:rsid w:val="003B47CF"/>
    <w:rsid w:val="003B4854"/>
    <w:rsid w:val="003B7070"/>
    <w:rsid w:val="003C0466"/>
    <w:rsid w:val="003C08CF"/>
    <w:rsid w:val="003C255B"/>
    <w:rsid w:val="003C2939"/>
    <w:rsid w:val="003C4021"/>
    <w:rsid w:val="003C414C"/>
    <w:rsid w:val="003C420C"/>
    <w:rsid w:val="003C4446"/>
    <w:rsid w:val="003C5BF3"/>
    <w:rsid w:val="003C64D9"/>
    <w:rsid w:val="003D0ABD"/>
    <w:rsid w:val="003D1B6D"/>
    <w:rsid w:val="003D346A"/>
    <w:rsid w:val="003D50D0"/>
    <w:rsid w:val="003E0DBA"/>
    <w:rsid w:val="003E4C77"/>
    <w:rsid w:val="003E5884"/>
    <w:rsid w:val="003E70E0"/>
    <w:rsid w:val="003E748E"/>
    <w:rsid w:val="003F03A7"/>
    <w:rsid w:val="003F0BD6"/>
    <w:rsid w:val="003F12BD"/>
    <w:rsid w:val="003F1C66"/>
    <w:rsid w:val="003F2386"/>
    <w:rsid w:val="003F3431"/>
    <w:rsid w:val="003F4A15"/>
    <w:rsid w:val="003F4AFB"/>
    <w:rsid w:val="003F4CC5"/>
    <w:rsid w:val="003F5B34"/>
    <w:rsid w:val="003F5B78"/>
    <w:rsid w:val="003F68BD"/>
    <w:rsid w:val="003F68DE"/>
    <w:rsid w:val="00401416"/>
    <w:rsid w:val="00402E38"/>
    <w:rsid w:val="00403CE6"/>
    <w:rsid w:val="00403E93"/>
    <w:rsid w:val="00403FA1"/>
    <w:rsid w:val="00404D78"/>
    <w:rsid w:val="00404F9F"/>
    <w:rsid w:val="0040699C"/>
    <w:rsid w:val="004074CC"/>
    <w:rsid w:val="00407CA0"/>
    <w:rsid w:val="00407E86"/>
    <w:rsid w:val="00407FB3"/>
    <w:rsid w:val="00410255"/>
    <w:rsid w:val="00410298"/>
    <w:rsid w:val="004110CA"/>
    <w:rsid w:val="00411E71"/>
    <w:rsid w:val="004144BF"/>
    <w:rsid w:val="004149BC"/>
    <w:rsid w:val="0041573C"/>
    <w:rsid w:val="00416F40"/>
    <w:rsid w:val="00417DBD"/>
    <w:rsid w:val="00421589"/>
    <w:rsid w:val="004228A4"/>
    <w:rsid w:val="00423A99"/>
    <w:rsid w:val="00424202"/>
    <w:rsid w:val="00424260"/>
    <w:rsid w:val="00424DA6"/>
    <w:rsid w:val="0042509E"/>
    <w:rsid w:val="0042609C"/>
    <w:rsid w:val="00427D17"/>
    <w:rsid w:val="00430EDE"/>
    <w:rsid w:val="00431360"/>
    <w:rsid w:val="00431E88"/>
    <w:rsid w:val="004320E1"/>
    <w:rsid w:val="00433035"/>
    <w:rsid w:val="00433197"/>
    <w:rsid w:val="00434335"/>
    <w:rsid w:val="00437872"/>
    <w:rsid w:val="00440374"/>
    <w:rsid w:val="0044090C"/>
    <w:rsid w:val="00441171"/>
    <w:rsid w:val="004418FC"/>
    <w:rsid w:val="0044287B"/>
    <w:rsid w:val="00443482"/>
    <w:rsid w:val="00443912"/>
    <w:rsid w:val="004455AB"/>
    <w:rsid w:val="0044606B"/>
    <w:rsid w:val="0044624C"/>
    <w:rsid w:val="00446E3E"/>
    <w:rsid w:val="004500D5"/>
    <w:rsid w:val="00450307"/>
    <w:rsid w:val="00450308"/>
    <w:rsid w:val="00451F2C"/>
    <w:rsid w:val="00452B2B"/>
    <w:rsid w:val="00453089"/>
    <w:rsid w:val="004557AB"/>
    <w:rsid w:val="004558DB"/>
    <w:rsid w:val="004567F1"/>
    <w:rsid w:val="00457712"/>
    <w:rsid w:val="00457AD1"/>
    <w:rsid w:val="00460544"/>
    <w:rsid w:val="00460838"/>
    <w:rsid w:val="00460D76"/>
    <w:rsid w:val="00461781"/>
    <w:rsid w:val="00462295"/>
    <w:rsid w:val="00462EBA"/>
    <w:rsid w:val="00463903"/>
    <w:rsid w:val="00463AB5"/>
    <w:rsid w:val="00464207"/>
    <w:rsid w:val="0046427F"/>
    <w:rsid w:val="00464305"/>
    <w:rsid w:val="00464AAC"/>
    <w:rsid w:val="00464EDE"/>
    <w:rsid w:val="00465B4B"/>
    <w:rsid w:val="0046644B"/>
    <w:rsid w:val="00466CA2"/>
    <w:rsid w:val="0046716D"/>
    <w:rsid w:val="004677F1"/>
    <w:rsid w:val="004678C2"/>
    <w:rsid w:val="00467BAB"/>
    <w:rsid w:val="00467E20"/>
    <w:rsid w:val="00470D4B"/>
    <w:rsid w:val="00472421"/>
    <w:rsid w:val="004728CD"/>
    <w:rsid w:val="00472B98"/>
    <w:rsid w:val="00473F0E"/>
    <w:rsid w:val="00474DC4"/>
    <w:rsid w:val="00475257"/>
    <w:rsid w:val="004766D1"/>
    <w:rsid w:val="00476807"/>
    <w:rsid w:val="00477A5B"/>
    <w:rsid w:val="00482AAA"/>
    <w:rsid w:val="00482AEF"/>
    <w:rsid w:val="00484AA4"/>
    <w:rsid w:val="00485220"/>
    <w:rsid w:val="00485307"/>
    <w:rsid w:val="00487FF8"/>
    <w:rsid w:val="0049146B"/>
    <w:rsid w:val="00491977"/>
    <w:rsid w:val="00492793"/>
    <w:rsid w:val="00493F72"/>
    <w:rsid w:val="004944E6"/>
    <w:rsid w:val="00494542"/>
    <w:rsid w:val="0049491B"/>
    <w:rsid w:val="00495A2E"/>
    <w:rsid w:val="004966B1"/>
    <w:rsid w:val="00496742"/>
    <w:rsid w:val="00497560"/>
    <w:rsid w:val="00497589"/>
    <w:rsid w:val="004A0612"/>
    <w:rsid w:val="004A075D"/>
    <w:rsid w:val="004A07E5"/>
    <w:rsid w:val="004A0870"/>
    <w:rsid w:val="004A0F1E"/>
    <w:rsid w:val="004A1329"/>
    <w:rsid w:val="004A1513"/>
    <w:rsid w:val="004A511D"/>
    <w:rsid w:val="004A7E39"/>
    <w:rsid w:val="004A7E99"/>
    <w:rsid w:val="004B03FB"/>
    <w:rsid w:val="004B114F"/>
    <w:rsid w:val="004B166A"/>
    <w:rsid w:val="004B1851"/>
    <w:rsid w:val="004B221C"/>
    <w:rsid w:val="004B3C0A"/>
    <w:rsid w:val="004B61FE"/>
    <w:rsid w:val="004B6319"/>
    <w:rsid w:val="004B7320"/>
    <w:rsid w:val="004B76F1"/>
    <w:rsid w:val="004B795D"/>
    <w:rsid w:val="004C10B3"/>
    <w:rsid w:val="004C137D"/>
    <w:rsid w:val="004C1745"/>
    <w:rsid w:val="004C1C7B"/>
    <w:rsid w:val="004C2E48"/>
    <w:rsid w:val="004C487D"/>
    <w:rsid w:val="004C4A2E"/>
    <w:rsid w:val="004C57B7"/>
    <w:rsid w:val="004C64BD"/>
    <w:rsid w:val="004C6B9C"/>
    <w:rsid w:val="004D0AD6"/>
    <w:rsid w:val="004D0B81"/>
    <w:rsid w:val="004D0E39"/>
    <w:rsid w:val="004D2BB7"/>
    <w:rsid w:val="004D3FD3"/>
    <w:rsid w:val="004D5D36"/>
    <w:rsid w:val="004D5EA3"/>
    <w:rsid w:val="004D6C9E"/>
    <w:rsid w:val="004D7263"/>
    <w:rsid w:val="004D75A2"/>
    <w:rsid w:val="004D7E83"/>
    <w:rsid w:val="004E0C31"/>
    <w:rsid w:val="004E107F"/>
    <w:rsid w:val="004E1149"/>
    <w:rsid w:val="004E20C5"/>
    <w:rsid w:val="004E24C1"/>
    <w:rsid w:val="004E252C"/>
    <w:rsid w:val="004E2A01"/>
    <w:rsid w:val="004E2EF1"/>
    <w:rsid w:val="004E44C8"/>
    <w:rsid w:val="004E461A"/>
    <w:rsid w:val="004E4F97"/>
    <w:rsid w:val="004E53BE"/>
    <w:rsid w:val="004F16F4"/>
    <w:rsid w:val="004F1C52"/>
    <w:rsid w:val="004F2431"/>
    <w:rsid w:val="004F299A"/>
    <w:rsid w:val="004F3B4D"/>
    <w:rsid w:val="004F3F81"/>
    <w:rsid w:val="004F556D"/>
    <w:rsid w:val="004F588D"/>
    <w:rsid w:val="004F58C4"/>
    <w:rsid w:val="004F5BF0"/>
    <w:rsid w:val="004F5C43"/>
    <w:rsid w:val="004F6CA7"/>
    <w:rsid w:val="004F76F7"/>
    <w:rsid w:val="005028D4"/>
    <w:rsid w:val="00505943"/>
    <w:rsid w:val="00505A50"/>
    <w:rsid w:val="00506E88"/>
    <w:rsid w:val="0050720C"/>
    <w:rsid w:val="00511967"/>
    <w:rsid w:val="00511FCC"/>
    <w:rsid w:val="00512FA6"/>
    <w:rsid w:val="00514832"/>
    <w:rsid w:val="00514B49"/>
    <w:rsid w:val="00515CF2"/>
    <w:rsid w:val="00516900"/>
    <w:rsid w:val="00516E39"/>
    <w:rsid w:val="005170E1"/>
    <w:rsid w:val="0052004C"/>
    <w:rsid w:val="0052069E"/>
    <w:rsid w:val="00520B57"/>
    <w:rsid w:val="0052273C"/>
    <w:rsid w:val="00522A47"/>
    <w:rsid w:val="00524C7A"/>
    <w:rsid w:val="00526293"/>
    <w:rsid w:val="0052652E"/>
    <w:rsid w:val="005301F5"/>
    <w:rsid w:val="005314A1"/>
    <w:rsid w:val="00531EB5"/>
    <w:rsid w:val="005324A0"/>
    <w:rsid w:val="00532A5C"/>
    <w:rsid w:val="00533925"/>
    <w:rsid w:val="00535050"/>
    <w:rsid w:val="005362A2"/>
    <w:rsid w:val="0053653B"/>
    <w:rsid w:val="00536E1A"/>
    <w:rsid w:val="00536F3C"/>
    <w:rsid w:val="005373CD"/>
    <w:rsid w:val="00537A0D"/>
    <w:rsid w:val="005401D5"/>
    <w:rsid w:val="00541DB0"/>
    <w:rsid w:val="0054260E"/>
    <w:rsid w:val="00542FDF"/>
    <w:rsid w:val="00543D97"/>
    <w:rsid w:val="005443AB"/>
    <w:rsid w:val="00544748"/>
    <w:rsid w:val="0054647B"/>
    <w:rsid w:val="00546C98"/>
    <w:rsid w:val="00547FD1"/>
    <w:rsid w:val="00550D79"/>
    <w:rsid w:val="0055290B"/>
    <w:rsid w:val="00552D04"/>
    <w:rsid w:val="00552E7D"/>
    <w:rsid w:val="0055388C"/>
    <w:rsid w:val="00553FD1"/>
    <w:rsid w:val="005559AC"/>
    <w:rsid w:val="00555F23"/>
    <w:rsid w:val="00557B5A"/>
    <w:rsid w:val="00557BE1"/>
    <w:rsid w:val="005611D0"/>
    <w:rsid w:val="00561E71"/>
    <w:rsid w:val="00562A0C"/>
    <w:rsid w:val="005631C4"/>
    <w:rsid w:val="0056404E"/>
    <w:rsid w:val="00564F48"/>
    <w:rsid w:val="00565D2E"/>
    <w:rsid w:val="00566D07"/>
    <w:rsid w:val="00566EB7"/>
    <w:rsid w:val="00567719"/>
    <w:rsid w:val="00567A39"/>
    <w:rsid w:val="00570562"/>
    <w:rsid w:val="0057174F"/>
    <w:rsid w:val="00571A40"/>
    <w:rsid w:val="00572362"/>
    <w:rsid w:val="005726CF"/>
    <w:rsid w:val="0057279D"/>
    <w:rsid w:val="005735DF"/>
    <w:rsid w:val="005736B2"/>
    <w:rsid w:val="00573E77"/>
    <w:rsid w:val="005762E3"/>
    <w:rsid w:val="0057797A"/>
    <w:rsid w:val="0058033D"/>
    <w:rsid w:val="00580B49"/>
    <w:rsid w:val="005817E4"/>
    <w:rsid w:val="005822CD"/>
    <w:rsid w:val="005826B1"/>
    <w:rsid w:val="005830B9"/>
    <w:rsid w:val="005845A6"/>
    <w:rsid w:val="005845F7"/>
    <w:rsid w:val="00586D35"/>
    <w:rsid w:val="00591B1F"/>
    <w:rsid w:val="00591D1B"/>
    <w:rsid w:val="005924BB"/>
    <w:rsid w:val="00592C39"/>
    <w:rsid w:val="00593C7A"/>
    <w:rsid w:val="00594186"/>
    <w:rsid w:val="005941B3"/>
    <w:rsid w:val="00594A72"/>
    <w:rsid w:val="00594ED8"/>
    <w:rsid w:val="005975C9"/>
    <w:rsid w:val="005A12B0"/>
    <w:rsid w:val="005A384C"/>
    <w:rsid w:val="005A40A6"/>
    <w:rsid w:val="005A426F"/>
    <w:rsid w:val="005A53B8"/>
    <w:rsid w:val="005B043A"/>
    <w:rsid w:val="005B0E3B"/>
    <w:rsid w:val="005B12CB"/>
    <w:rsid w:val="005B1894"/>
    <w:rsid w:val="005B223C"/>
    <w:rsid w:val="005B4438"/>
    <w:rsid w:val="005B4508"/>
    <w:rsid w:val="005B5349"/>
    <w:rsid w:val="005B5DA2"/>
    <w:rsid w:val="005B666A"/>
    <w:rsid w:val="005C10EB"/>
    <w:rsid w:val="005C2F09"/>
    <w:rsid w:val="005C3291"/>
    <w:rsid w:val="005C3864"/>
    <w:rsid w:val="005C3C28"/>
    <w:rsid w:val="005C42BA"/>
    <w:rsid w:val="005C5018"/>
    <w:rsid w:val="005C524E"/>
    <w:rsid w:val="005C594B"/>
    <w:rsid w:val="005C64B1"/>
    <w:rsid w:val="005C7DED"/>
    <w:rsid w:val="005D04F1"/>
    <w:rsid w:val="005D1681"/>
    <w:rsid w:val="005D1955"/>
    <w:rsid w:val="005D2947"/>
    <w:rsid w:val="005D35B3"/>
    <w:rsid w:val="005D371D"/>
    <w:rsid w:val="005D3AD7"/>
    <w:rsid w:val="005D430A"/>
    <w:rsid w:val="005D47E9"/>
    <w:rsid w:val="005D5C60"/>
    <w:rsid w:val="005D70FC"/>
    <w:rsid w:val="005D7BF0"/>
    <w:rsid w:val="005E1C19"/>
    <w:rsid w:val="005E2408"/>
    <w:rsid w:val="005E616E"/>
    <w:rsid w:val="005E67CD"/>
    <w:rsid w:val="005E7495"/>
    <w:rsid w:val="005F0C56"/>
    <w:rsid w:val="005F10D5"/>
    <w:rsid w:val="005F13C9"/>
    <w:rsid w:val="005F2468"/>
    <w:rsid w:val="005F27BB"/>
    <w:rsid w:val="005F27BC"/>
    <w:rsid w:val="005F5EC2"/>
    <w:rsid w:val="005F6D6C"/>
    <w:rsid w:val="00600372"/>
    <w:rsid w:val="00600985"/>
    <w:rsid w:val="0060139A"/>
    <w:rsid w:val="00601A8B"/>
    <w:rsid w:val="00601BE4"/>
    <w:rsid w:val="006024FA"/>
    <w:rsid w:val="0060345A"/>
    <w:rsid w:val="00605062"/>
    <w:rsid w:val="006058A2"/>
    <w:rsid w:val="00605F87"/>
    <w:rsid w:val="0060678A"/>
    <w:rsid w:val="0060701B"/>
    <w:rsid w:val="00607D96"/>
    <w:rsid w:val="00610C59"/>
    <w:rsid w:val="00610F5F"/>
    <w:rsid w:val="00613165"/>
    <w:rsid w:val="006134C7"/>
    <w:rsid w:val="006158B9"/>
    <w:rsid w:val="00620538"/>
    <w:rsid w:val="00620D37"/>
    <w:rsid w:val="0062129C"/>
    <w:rsid w:val="00621C12"/>
    <w:rsid w:val="00622A0B"/>
    <w:rsid w:val="006230F3"/>
    <w:rsid w:val="006231C3"/>
    <w:rsid w:val="00623608"/>
    <w:rsid w:val="00623958"/>
    <w:rsid w:val="00623A22"/>
    <w:rsid w:val="00624438"/>
    <w:rsid w:val="006248B2"/>
    <w:rsid w:val="00624A69"/>
    <w:rsid w:val="00625010"/>
    <w:rsid w:val="0062532A"/>
    <w:rsid w:val="006264A5"/>
    <w:rsid w:val="00626548"/>
    <w:rsid w:val="00626D55"/>
    <w:rsid w:val="00630EB3"/>
    <w:rsid w:val="00631A77"/>
    <w:rsid w:val="00632E31"/>
    <w:rsid w:val="0063344C"/>
    <w:rsid w:val="0063363C"/>
    <w:rsid w:val="006342FF"/>
    <w:rsid w:val="00634EBF"/>
    <w:rsid w:val="0063573D"/>
    <w:rsid w:val="00635A22"/>
    <w:rsid w:val="00636314"/>
    <w:rsid w:val="00636B9F"/>
    <w:rsid w:val="00637304"/>
    <w:rsid w:val="00640C1C"/>
    <w:rsid w:val="0064137C"/>
    <w:rsid w:val="00642083"/>
    <w:rsid w:val="00642193"/>
    <w:rsid w:val="00643139"/>
    <w:rsid w:val="006446FA"/>
    <w:rsid w:val="00644D2D"/>
    <w:rsid w:val="006475E4"/>
    <w:rsid w:val="006502FB"/>
    <w:rsid w:val="006504B6"/>
    <w:rsid w:val="00651385"/>
    <w:rsid w:val="00652AEA"/>
    <w:rsid w:val="006530FC"/>
    <w:rsid w:val="00654BB7"/>
    <w:rsid w:val="0065550D"/>
    <w:rsid w:val="00655E81"/>
    <w:rsid w:val="006568B1"/>
    <w:rsid w:val="006569A4"/>
    <w:rsid w:val="00657AD4"/>
    <w:rsid w:val="00660134"/>
    <w:rsid w:val="00660189"/>
    <w:rsid w:val="00660683"/>
    <w:rsid w:val="00661FBF"/>
    <w:rsid w:val="006630A6"/>
    <w:rsid w:val="00665364"/>
    <w:rsid w:val="006653FE"/>
    <w:rsid w:val="00666201"/>
    <w:rsid w:val="0066677E"/>
    <w:rsid w:val="00666974"/>
    <w:rsid w:val="006673D3"/>
    <w:rsid w:val="006674F2"/>
    <w:rsid w:val="006678BF"/>
    <w:rsid w:val="0067007C"/>
    <w:rsid w:val="006709E1"/>
    <w:rsid w:val="00670CED"/>
    <w:rsid w:val="0067189D"/>
    <w:rsid w:val="00671CDB"/>
    <w:rsid w:val="00671F14"/>
    <w:rsid w:val="006720A2"/>
    <w:rsid w:val="00672BE8"/>
    <w:rsid w:val="00672C80"/>
    <w:rsid w:val="006731BE"/>
    <w:rsid w:val="0067419D"/>
    <w:rsid w:val="006742EB"/>
    <w:rsid w:val="00675B16"/>
    <w:rsid w:val="00677C50"/>
    <w:rsid w:val="006806E5"/>
    <w:rsid w:val="0068085F"/>
    <w:rsid w:val="006811DE"/>
    <w:rsid w:val="00682AFC"/>
    <w:rsid w:val="0068321A"/>
    <w:rsid w:val="00685103"/>
    <w:rsid w:val="00685485"/>
    <w:rsid w:val="006876A8"/>
    <w:rsid w:val="00687B43"/>
    <w:rsid w:val="00690535"/>
    <w:rsid w:val="00690613"/>
    <w:rsid w:val="0069108A"/>
    <w:rsid w:val="0069293A"/>
    <w:rsid w:val="00693428"/>
    <w:rsid w:val="00694505"/>
    <w:rsid w:val="0069453F"/>
    <w:rsid w:val="00694F7B"/>
    <w:rsid w:val="00696C4A"/>
    <w:rsid w:val="006A08A8"/>
    <w:rsid w:val="006A0BE6"/>
    <w:rsid w:val="006A0D57"/>
    <w:rsid w:val="006A1DA9"/>
    <w:rsid w:val="006A2B5F"/>
    <w:rsid w:val="006A2B81"/>
    <w:rsid w:val="006A49E3"/>
    <w:rsid w:val="006A5A3B"/>
    <w:rsid w:val="006A5FFC"/>
    <w:rsid w:val="006A6AF6"/>
    <w:rsid w:val="006A7655"/>
    <w:rsid w:val="006A76BA"/>
    <w:rsid w:val="006A7C65"/>
    <w:rsid w:val="006B026B"/>
    <w:rsid w:val="006B1ACD"/>
    <w:rsid w:val="006B1C5F"/>
    <w:rsid w:val="006B1EFD"/>
    <w:rsid w:val="006B1FAE"/>
    <w:rsid w:val="006B2C69"/>
    <w:rsid w:val="006B5C6B"/>
    <w:rsid w:val="006C08F8"/>
    <w:rsid w:val="006C1FC9"/>
    <w:rsid w:val="006C24F5"/>
    <w:rsid w:val="006C3771"/>
    <w:rsid w:val="006C3CDC"/>
    <w:rsid w:val="006C454C"/>
    <w:rsid w:val="006C49CB"/>
    <w:rsid w:val="006C5C1C"/>
    <w:rsid w:val="006C5C77"/>
    <w:rsid w:val="006D39FE"/>
    <w:rsid w:val="006D5C3F"/>
    <w:rsid w:val="006D6AE7"/>
    <w:rsid w:val="006D7005"/>
    <w:rsid w:val="006E0A35"/>
    <w:rsid w:val="006E126A"/>
    <w:rsid w:val="006E26EA"/>
    <w:rsid w:val="006E272B"/>
    <w:rsid w:val="006E304A"/>
    <w:rsid w:val="006E4281"/>
    <w:rsid w:val="006E4888"/>
    <w:rsid w:val="006E4D0B"/>
    <w:rsid w:val="006E500B"/>
    <w:rsid w:val="006E5AA9"/>
    <w:rsid w:val="006E6334"/>
    <w:rsid w:val="006E7EF2"/>
    <w:rsid w:val="006F0442"/>
    <w:rsid w:val="006F176E"/>
    <w:rsid w:val="006F193C"/>
    <w:rsid w:val="006F1CFE"/>
    <w:rsid w:val="006F1E96"/>
    <w:rsid w:val="006F264D"/>
    <w:rsid w:val="006F41D5"/>
    <w:rsid w:val="006F77F1"/>
    <w:rsid w:val="006F7A57"/>
    <w:rsid w:val="006F7CB4"/>
    <w:rsid w:val="006F7D05"/>
    <w:rsid w:val="007023A3"/>
    <w:rsid w:val="007027DE"/>
    <w:rsid w:val="00703902"/>
    <w:rsid w:val="00703F28"/>
    <w:rsid w:val="00703FC0"/>
    <w:rsid w:val="00704E88"/>
    <w:rsid w:val="0070709E"/>
    <w:rsid w:val="00710201"/>
    <w:rsid w:val="00710225"/>
    <w:rsid w:val="007115C7"/>
    <w:rsid w:val="00712ADB"/>
    <w:rsid w:val="00713EFB"/>
    <w:rsid w:val="007150F9"/>
    <w:rsid w:val="007160BE"/>
    <w:rsid w:val="007160ED"/>
    <w:rsid w:val="00717409"/>
    <w:rsid w:val="00721539"/>
    <w:rsid w:val="00721EF3"/>
    <w:rsid w:val="00722C42"/>
    <w:rsid w:val="00722F65"/>
    <w:rsid w:val="00723927"/>
    <w:rsid w:val="007241CC"/>
    <w:rsid w:val="00724C7B"/>
    <w:rsid w:val="007253DC"/>
    <w:rsid w:val="00726514"/>
    <w:rsid w:val="00726836"/>
    <w:rsid w:val="00730210"/>
    <w:rsid w:val="00730E1D"/>
    <w:rsid w:val="00730E80"/>
    <w:rsid w:val="007323DB"/>
    <w:rsid w:val="00732AF9"/>
    <w:rsid w:val="00734271"/>
    <w:rsid w:val="00734A4F"/>
    <w:rsid w:val="00734C31"/>
    <w:rsid w:val="00734F92"/>
    <w:rsid w:val="007354E0"/>
    <w:rsid w:val="007358B4"/>
    <w:rsid w:val="007371FD"/>
    <w:rsid w:val="0073741C"/>
    <w:rsid w:val="00737F5D"/>
    <w:rsid w:val="007417FC"/>
    <w:rsid w:val="0074277D"/>
    <w:rsid w:val="007445AA"/>
    <w:rsid w:val="0074485E"/>
    <w:rsid w:val="00744EE6"/>
    <w:rsid w:val="007501AE"/>
    <w:rsid w:val="00751364"/>
    <w:rsid w:val="00752CC9"/>
    <w:rsid w:val="00754898"/>
    <w:rsid w:val="007549B6"/>
    <w:rsid w:val="007550D3"/>
    <w:rsid w:val="00755824"/>
    <w:rsid w:val="00755F07"/>
    <w:rsid w:val="007569CC"/>
    <w:rsid w:val="00756DD0"/>
    <w:rsid w:val="00761A82"/>
    <w:rsid w:val="00761C22"/>
    <w:rsid w:val="0076207E"/>
    <w:rsid w:val="00762A90"/>
    <w:rsid w:val="00762BCC"/>
    <w:rsid w:val="00763BA3"/>
    <w:rsid w:val="007644F1"/>
    <w:rsid w:val="00765B66"/>
    <w:rsid w:val="0076733B"/>
    <w:rsid w:val="00767BB2"/>
    <w:rsid w:val="00767EBF"/>
    <w:rsid w:val="007701AB"/>
    <w:rsid w:val="00770253"/>
    <w:rsid w:val="0077049A"/>
    <w:rsid w:val="00773EC0"/>
    <w:rsid w:val="00775BDF"/>
    <w:rsid w:val="00777281"/>
    <w:rsid w:val="0077741F"/>
    <w:rsid w:val="00780200"/>
    <w:rsid w:val="00780376"/>
    <w:rsid w:val="00781AAB"/>
    <w:rsid w:val="0078240B"/>
    <w:rsid w:val="007843BD"/>
    <w:rsid w:val="00784D12"/>
    <w:rsid w:val="007858A3"/>
    <w:rsid w:val="00787373"/>
    <w:rsid w:val="007903AF"/>
    <w:rsid w:val="0079059B"/>
    <w:rsid w:val="00791118"/>
    <w:rsid w:val="00791AAC"/>
    <w:rsid w:val="00792535"/>
    <w:rsid w:val="00793DB2"/>
    <w:rsid w:val="0079410C"/>
    <w:rsid w:val="00796072"/>
    <w:rsid w:val="00796211"/>
    <w:rsid w:val="00797193"/>
    <w:rsid w:val="00797D4C"/>
    <w:rsid w:val="007A0654"/>
    <w:rsid w:val="007A090D"/>
    <w:rsid w:val="007A1013"/>
    <w:rsid w:val="007A30C4"/>
    <w:rsid w:val="007A3429"/>
    <w:rsid w:val="007A3537"/>
    <w:rsid w:val="007A39D3"/>
    <w:rsid w:val="007A3C04"/>
    <w:rsid w:val="007A3C91"/>
    <w:rsid w:val="007A4701"/>
    <w:rsid w:val="007A5F67"/>
    <w:rsid w:val="007A70C0"/>
    <w:rsid w:val="007B02BB"/>
    <w:rsid w:val="007B3B36"/>
    <w:rsid w:val="007B52C8"/>
    <w:rsid w:val="007B54F4"/>
    <w:rsid w:val="007B6072"/>
    <w:rsid w:val="007B7C5A"/>
    <w:rsid w:val="007C0E7E"/>
    <w:rsid w:val="007C2CD7"/>
    <w:rsid w:val="007C3690"/>
    <w:rsid w:val="007C371A"/>
    <w:rsid w:val="007C3C20"/>
    <w:rsid w:val="007C4C67"/>
    <w:rsid w:val="007C5A3B"/>
    <w:rsid w:val="007C7483"/>
    <w:rsid w:val="007D10A6"/>
    <w:rsid w:val="007D1118"/>
    <w:rsid w:val="007D17C5"/>
    <w:rsid w:val="007D36D9"/>
    <w:rsid w:val="007D402D"/>
    <w:rsid w:val="007D48D3"/>
    <w:rsid w:val="007D52EC"/>
    <w:rsid w:val="007D6108"/>
    <w:rsid w:val="007D66A1"/>
    <w:rsid w:val="007D6A71"/>
    <w:rsid w:val="007D6DD4"/>
    <w:rsid w:val="007D70EE"/>
    <w:rsid w:val="007D7139"/>
    <w:rsid w:val="007D7788"/>
    <w:rsid w:val="007E0D3D"/>
    <w:rsid w:val="007E2A9B"/>
    <w:rsid w:val="007E2F64"/>
    <w:rsid w:val="007E389F"/>
    <w:rsid w:val="007E534A"/>
    <w:rsid w:val="007E570A"/>
    <w:rsid w:val="007E64CE"/>
    <w:rsid w:val="007E6B1E"/>
    <w:rsid w:val="007F0AB6"/>
    <w:rsid w:val="007F1ADB"/>
    <w:rsid w:val="007F1CEE"/>
    <w:rsid w:val="007F2116"/>
    <w:rsid w:val="007F4B2C"/>
    <w:rsid w:val="007F625F"/>
    <w:rsid w:val="007F626F"/>
    <w:rsid w:val="00800237"/>
    <w:rsid w:val="00800692"/>
    <w:rsid w:val="00804903"/>
    <w:rsid w:val="00805251"/>
    <w:rsid w:val="008060EB"/>
    <w:rsid w:val="008062AC"/>
    <w:rsid w:val="00806E6F"/>
    <w:rsid w:val="008073F5"/>
    <w:rsid w:val="0081014B"/>
    <w:rsid w:val="008107DC"/>
    <w:rsid w:val="0081353E"/>
    <w:rsid w:val="008153F0"/>
    <w:rsid w:val="008155D2"/>
    <w:rsid w:val="00815E66"/>
    <w:rsid w:val="00816FAE"/>
    <w:rsid w:val="00817826"/>
    <w:rsid w:val="00820360"/>
    <w:rsid w:val="008204EB"/>
    <w:rsid w:val="00821BBD"/>
    <w:rsid w:val="0082237F"/>
    <w:rsid w:val="00822984"/>
    <w:rsid w:val="008229A4"/>
    <w:rsid w:val="00823010"/>
    <w:rsid w:val="00824238"/>
    <w:rsid w:val="0082449E"/>
    <w:rsid w:val="00824541"/>
    <w:rsid w:val="0082479C"/>
    <w:rsid w:val="008253BA"/>
    <w:rsid w:val="00826BCB"/>
    <w:rsid w:val="00830F7E"/>
    <w:rsid w:val="008315CC"/>
    <w:rsid w:val="008315EC"/>
    <w:rsid w:val="00833249"/>
    <w:rsid w:val="00835E22"/>
    <w:rsid w:val="00836EBA"/>
    <w:rsid w:val="00837537"/>
    <w:rsid w:val="00840AF4"/>
    <w:rsid w:val="00841909"/>
    <w:rsid w:val="00841BE3"/>
    <w:rsid w:val="0084239C"/>
    <w:rsid w:val="00842A86"/>
    <w:rsid w:val="00843B47"/>
    <w:rsid w:val="00844F04"/>
    <w:rsid w:val="00845547"/>
    <w:rsid w:val="008473C7"/>
    <w:rsid w:val="00847FF3"/>
    <w:rsid w:val="00850A6F"/>
    <w:rsid w:val="00850E22"/>
    <w:rsid w:val="00851243"/>
    <w:rsid w:val="00851B63"/>
    <w:rsid w:val="00852401"/>
    <w:rsid w:val="00852C78"/>
    <w:rsid w:val="0085344B"/>
    <w:rsid w:val="00860475"/>
    <w:rsid w:val="0086094D"/>
    <w:rsid w:val="0086199B"/>
    <w:rsid w:val="008622D6"/>
    <w:rsid w:val="008628A9"/>
    <w:rsid w:val="008640D6"/>
    <w:rsid w:val="00864548"/>
    <w:rsid w:val="008651E9"/>
    <w:rsid w:val="0086548C"/>
    <w:rsid w:val="00865C65"/>
    <w:rsid w:val="00865FFC"/>
    <w:rsid w:val="008671DA"/>
    <w:rsid w:val="00867458"/>
    <w:rsid w:val="00867F47"/>
    <w:rsid w:val="00872382"/>
    <w:rsid w:val="00872942"/>
    <w:rsid w:val="00872E53"/>
    <w:rsid w:val="00873A1B"/>
    <w:rsid w:val="008742E3"/>
    <w:rsid w:val="00874DAE"/>
    <w:rsid w:val="00875A6A"/>
    <w:rsid w:val="00876404"/>
    <w:rsid w:val="00876B3A"/>
    <w:rsid w:val="008773FD"/>
    <w:rsid w:val="00877C7F"/>
    <w:rsid w:val="008801FB"/>
    <w:rsid w:val="00880F29"/>
    <w:rsid w:val="0088280C"/>
    <w:rsid w:val="00882A20"/>
    <w:rsid w:val="00883483"/>
    <w:rsid w:val="008848B1"/>
    <w:rsid w:val="0088699E"/>
    <w:rsid w:val="008905C4"/>
    <w:rsid w:val="00890CCA"/>
    <w:rsid w:val="00890DFA"/>
    <w:rsid w:val="00891323"/>
    <w:rsid w:val="00893B69"/>
    <w:rsid w:val="00894182"/>
    <w:rsid w:val="0089455B"/>
    <w:rsid w:val="00895488"/>
    <w:rsid w:val="00896027"/>
    <w:rsid w:val="008A1315"/>
    <w:rsid w:val="008A1924"/>
    <w:rsid w:val="008A1FFD"/>
    <w:rsid w:val="008A281C"/>
    <w:rsid w:val="008A327F"/>
    <w:rsid w:val="008A355B"/>
    <w:rsid w:val="008A38A9"/>
    <w:rsid w:val="008A4474"/>
    <w:rsid w:val="008A4FCC"/>
    <w:rsid w:val="008A54FC"/>
    <w:rsid w:val="008B02A8"/>
    <w:rsid w:val="008B1500"/>
    <w:rsid w:val="008B1FD0"/>
    <w:rsid w:val="008B2805"/>
    <w:rsid w:val="008B397A"/>
    <w:rsid w:val="008B623F"/>
    <w:rsid w:val="008B6F06"/>
    <w:rsid w:val="008B70CD"/>
    <w:rsid w:val="008B74F9"/>
    <w:rsid w:val="008B7CE5"/>
    <w:rsid w:val="008C101A"/>
    <w:rsid w:val="008C1C9F"/>
    <w:rsid w:val="008C36FB"/>
    <w:rsid w:val="008C58AA"/>
    <w:rsid w:val="008C6755"/>
    <w:rsid w:val="008C71F7"/>
    <w:rsid w:val="008D0210"/>
    <w:rsid w:val="008D293D"/>
    <w:rsid w:val="008D333A"/>
    <w:rsid w:val="008D44E0"/>
    <w:rsid w:val="008D4605"/>
    <w:rsid w:val="008D49BA"/>
    <w:rsid w:val="008D7541"/>
    <w:rsid w:val="008D795A"/>
    <w:rsid w:val="008E0B5B"/>
    <w:rsid w:val="008E0E21"/>
    <w:rsid w:val="008E1C0C"/>
    <w:rsid w:val="008E3FC0"/>
    <w:rsid w:val="008E46F5"/>
    <w:rsid w:val="008E5A7C"/>
    <w:rsid w:val="008E5AE0"/>
    <w:rsid w:val="008E6109"/>
    <w:rsid w:val="008E636A"/>
    <w:rsid w:val="008E7717"/>
    <w:rsid w:val="008F0589"/>
    <w:rsid w:val="008F1252"/>
    <w:rsid w:val="008F1E64"/>
    <w:rsid w:val="008F5889"/>
    <w:rsid w:val="008F72BD"/>
    <w:rsid w:val="00900060"/>
    <w:rsid w:val="00902FE9"/>
    <w:rsid w:val="00904AD4"/>
    <w:rsid w:val="009059C7"/>
    <w:rsid w:val="0090686B"/>
    <w:rsid w:val="00906BBC"/>
    <w:rsid w:val="00907CCC"/>
    <w:rsid w:val="00907DE9"/>
    <w:rsid w:val="00910E38"/>
    <w:rsid w:val="00911693"/>
    <w:rsid w:val="009119BF"/>
    <w:rsid w:val="00911D01"/>
    <w:rsid w:val="00911DBB"/>
    <w:rsid w:val="009133C3"/>
    <w:rsid w:val="0091390C"/>
    <w:rsid w:val="00913BC1"/>
    <w:rsid w:val="009140A2"/>
    <w:rsid w:val="009153F7"/>
    <w:rsid w:val="009170EA"/>
    <w:rsid w:val="00917240"/>
    <w:rsid w:val="00917265"/>
    <w:rsid w:val="00917D1C"/>
    <w:rsid w:val="0092041F"/>
    <w:rsid w:val="0092051E"/>
    <w:rsid w:val="0092076F"/>
    <w:rsid w:val="009212A7"/>
    <w:rsid w:val="0092174B"/>
    <w:rsid w:val="00921AD1"/>
    <w:rsid w:val="00921C42"/>
    <w:rsid w:val="00922F86"/>
    <w:rsid w:val="00923445"/>
    <w:rsid w:val="00923460"/>
    <w:rsid w:val="00924A55"/>
    <w:rsid w:val="00925B37"/>
    <w:rsid w:val="00926DCA"/>
    <w:rsid w:val="00927833"/>
    <w:rsid w:val="00930439"/>
    <w:rsid w:val="00930BDF"/>
    <w:rsid w:val="00930DCE"/>
    <w:rsid w:val="00930E10"/>
    <w:rsid w:val="00931168"/>
    <w:rsid w:val="0093121B"/>
    <w:rsid w:val="00932766"/>
    <w:rsid w:val="009338D3"/>
    <w:rsid w:val="00934202"/>
    <w:rsid w:val="009353A3"/>
    <w:rsid w:val="00935739"/>
    <w:rsid w:val="009366FA"/>
    <w:rsid w:val="009379AC"/>
    <w:rsid w:val="00937FE5"/>
    <w:rsid w:val="009400DB"/>
    <w:rsid w:val="009422CC"/>
    <w:rsid w:val="00942F1B"/>
    <w:rsid w:val="009434C3"/>
    <w:rsid w:val="0094419C"/>
    <w:rsid w:val="009466A2"/>
    <w:rsid w:val="00947A5A"/>
    <w:rsid w:val="00950792"/>
    <w:rsid w:val="00950B09"/>
    <w:rsid w:val="00951BEF"/>
    <w:rsid w:val="00952264"/>
    <w:rsid w:val="009532F0"/>
    <w:rsid w:val="009547BF"/>
    <w:rsid w:val="00954A42"/>
    <w:rsid w:val="009560B5"/>
    <w:rsid w:val="009576DF"/>
    <w:rsid w:val="00960196"/>
    <w:rsid w:val="009604DD"/>
    <w:rsid w:val="00960734"/>
    <w:rsid w:val="00960757"/>
    <w:rsid w:val="0096121F"/>
    <w:rsid w:val="0096198B"/>
    <w:rsid w:val="009653CA"/>
    <w:rsid w:val="0096602F"/>
    <w:rsid w:val="009704EF"/>
    <w:rsid w:val="00970D24"/>
    <w:rsid w:val="009712CD"/>
    <w:rsid w:val="0097137C"/>
    <w:rsid w:val="00971C19"/>
    <w:rsid w:val="009726BC"/>
    <w:rsid w:val="00972E92"/>
    <w:rsid w:val="009730D5"/>
    <w:rsid w:val="00973648"/>
    <w:rsid w:val="009739EA"/>
    <w:rsid w:val="00973F61"/>
    <w:rsid w:val="00973F6C"/>
    <w:rsid w:val="009742E9"/>
    <w:rsid w:val="009746D0"/>
    <w:rsid w:val="00976735"/>
    <w:rsid w:val="00976D22"/>
    <w:rsid w:val="009770CA"/>
    <w:rsid w:val="009804DC"/>
    <w:rsid w:val="00981399"/>
    <w:rsid w:val="00983237"/>
    <w:rsid w:val="009847ED"/>
    <w:rsid w:val="00984906"/>
    <w:rsid w:val="00985BF8"/>
    <w:rsid w:val="0098650C"/>
    <w:rsid w:val="00986677"/>
    <w:rsid w:val="009875D0"/>
    <w:rsid w:val="00990B92"/>
    <w:rsid w:val="00990F0F"/>
    <w:rsid w:val="00991482"/>
    <w:rsid w:val="00993429"/>
    <w:rsid w:val="00993E9F"/>
    <w:rsid w:val="0099421C"/>
    <w:rsid w:val="009A06F7"/>
    <w:rsid w:val="009A1D1F"/>
    <w:rsid w:val="009A1F21"/>
    <w:rsid w:val="009A2B71"/>
    <w:rsid w:val="009A48A2"/>
    <w:rsid w:val="009A515E"/>
    <w:rsid w:val="009A5EC0"/>
    <w:rsid w:val="009B077C"/>
    <w:rsid w:val="009B0A78"/>
    <w:rsid w:val="009B3F96"/>
    <w:rsid w:val="009B461A"/>
    <w:rsid w:val="009B5E50"/>
    <w:rsid w:val="009B7364"/>
    <w:rsid w:val="009B747D"/>
    <w:rsid w:val="009B749A"/>
    <w:rsid w:val="009C14F0"/>
    <w:rsid w:val="009C345D"/>
    <w:rsid w:val="009C4346"/>
    <w:rsid w:val="009C505A"/>
    <w:rsid w:val="009C5987"/>
    <w:rsid w:val="009C5F52"/>
    <w:rsid w:val="009C6030"/>
    <w:rsid w:val="009C6F07"/>
    <w:rsid w:val="009D05AF"/>
    <w:rsid w:val="009D1CF7"/>
    <w:rsid w:val="009D3496"/>
    <w:rsid w:val="009D4BA1"/>
    <w:rsid w:val="009D6B26"/>
    <w:rsid w:val="009D7D5A"/>
    <w:rsid w:val="009E1D02"/>
    <w:rsid w:val="009E2A1C"/>
    <w:rsid w:val="009E3DA1"/>
    <w:rsid w:val="009E47EB"/>
    <w:rsid w:val="009E6732"/>
    <w:rsid w:val="009E6DC3"/>
    <w:rsid w:val="009E77AD"/>
    <w:rsid w:val="009F0668"/>
    <w:rsid w:val="009F0B56"/>
    <w:rsid w:val="009F10D1"/>
    <w:rsid w:val="009F2A74"/>
    <w:rsid w:val="009F3485"/>
    <w:rsid w:val="009F38DC"/>
    <w:rsid w:val="009F3A37"/>
    <w:rsid w:val="009F3B7A"/>
    <w:rsid w:val="009F3C45"/>
    <w:rsid w:val="009F46AF"/>
    <w:rsid w:val="009F4C6E"/>
    <w:rsid w:val="009F5EAB"/>
    <w:rsid w:val="00A00BDB"/>
    <w:rsid w:val="00A015E5"/>
    <w:rsid w:val="00A01D14"/>
    <w:rsid w:val="00A02090"/>
    <w:rsid w:val="00A0257B"/>
    <w:rsid w:val="00A03812"/>
    <w:rsid w:val="00A03E57"/>
    <w:rsid w:val="00A04459"/>
    <w:rsid w:val="00A047A8"/>
    <w:rsid w:val="00A04D26"/>
    <w:rsid w:val="00A0545F"/>
    <w:rsid w:val="00A0658B"/>
    <w:rsid w:val="00A076B5"/>
    <w:rsid w:val="00A07DDE"/>
    <w:rsid w:val="00A1209F"/>
    <w:rsid w:val="00A126B0"/>
    <w:rsid w:val="00A136AC"/>
    <w:rsid w:val="00A150EB"/>
    <w:rsid w:val="00A155AD"/>
    <w:rsid w:val="00A16945"/>
    <w:rsid w:val="00A16AC2"/>
    <w:rsid w:val="00A17CC7"/>
    <w:rsid w:val="00A2161B"/>
    <w:rsid w:val="00A22FCD"/>
    <w:rsid w:val="00A23870"/>
    <w:rsid w:val="00A23924"/>
    <w:rsid w:val="00A2669E"/>
    <w:rsid w:val="00A27B69"/>
    <w:rsid w:val="00A27EC7"/>
    <w:rsid w:val="00A30FCF"/>
    <w:rsid w:val="00A31525"/>
    <w:rsid w:val="00A33232"/>
    <w:rsid w:val="00A33AA3"/>
    <w:rsid w:val="00A35288"/>
    <w:rsid w:val="00A3532E"/>
    <w:rsid w:val="00A35656"/>
    <w:rsid w:val="00A37823"/>
    <w:rsid w:val="00A40EC1"/>
    <w:rsid w:val="00A414DA"/>
    <w:rsid w:val="00A42EED"/>
    <w:rsid w:val="00A43BD3"/>
    <w:rsid w:val="00A46DA1"/>
    <w:rsid w:val="00A4715F"/>
    <w:rsid w:val="00A4743C"/>
    <w:rsid w:val="00A50773"/>
    <w:rsid w:val="00A50A78"/>
    <w:rsid w:val="00A51D74"/>
    <w:rsid w:val="00A53837"/>
    <w:rsid w:val="00A5489B"/>
    <w:rsid w:val="00A5519D"/>
    <w:rsid w:val="00A55E76"/>
    <w:rsid w:val="00A55E99"/>
    <w:rsid w:val="00A570B7"/>
    <w:rsid w:val="00A57CC9"/>
    <w:rsid w:val="00A6035E"/>
    <w:rsid w:val="00A61BE1"/>
    <w:rsid w:val="00A63096"/>
    <w:rsid w:val="00A63955"/>
    <w:rsid w:val="00A64599"/>
    <w:rsid w:val="00A64A61"/>
    <w:rsid w:val="00A65221"/>
    <w:rsid w:val="00A65AC9"/>
    <w:rsid w:val="00A661B1"/>
    <w:rsid w:val="00A6795C"/>
    <w:rsid w:val="00A7175E"/>
    <w:rsid w:val="00A71A29"/>
    <w:rsid w:val="00A71B9B"/>
    <w:rsid w:val="00A73298"/>
    <w:rsid w:val="00A74050"/>
    <w:rsid w:val="00A74347"/>
    <w:rsid w:val="00A7477D"/>
    <w:rsid w:val="00A76076"/>
    <w:rsid w:val="00A764ED"/>
    <w:rsid w:val="00A76F8F"/>
    <w:rsid w:val="00A779F6"/>
    <w:rsid w:val="00A77DAD"/>
    <w:rsid w:val="00A80822"/>
    <w:rsid w:val="00A80FF5"/>
    <w:rsid w:val="00A826CA"/>
    <w:rsid w:val="00A8279A"/>
    <w:rsid w:val="00A828ED"/>
    <w:rsid w:val="00A82C59"/>
    <w:rsid w:val="00A8357B"/>
    <w:rsid w:val="00A838B1"/>
    <w:rsid w:val="00A85777"/>
    <w:rsid w:val="00A85D58"/>
    <w:rsid w:val="00A90BFB"/>
    <w:rsid w:val="00A94EF6"/>
    <w:rsid w:val="00A95ACB"/>
    <w:rsid w:val="00A95DD6"/>
    <w:rsid w:val="00A97942"/>
    <w:rsid w:val="00A97C4C"/>
    <w:rsid w:val="00AA079B"/>
    <w:rsid w:val="00AA086A"/>
    <w:rsid w:val="00AA0EB0"/>
    <w:rsid w:val="00AA25DC"/>
    <w:rsid w:val="00AA2932"/>
    <w:rsid w:val="00AA3007"/>
    <w:rsid w:val="00AA462D"/>
    <w:rsid w:val="00AA470C"/>
    <w:rsid w:val="00AA4E83"/>
    <w:rsid w:val="00AA6214"/>
    <w:rsid w:val="00AB0A18"/>
    <w:rsid w:val="00AB1660"/>
    <w:rsid w:val="00AB1C16"/>
    <w:rsid w:val="00AB277D"/>
    <w:rsid w:val="00AB2EA8"/>
    <w:rsid w:val="00AB30B5"/>
    <w:rsid w:val="00AB33F2"/>
    <w:rsid w:val="00AB3C46"/>
    <w:rsid w:val="00AB43FB"/>
    <w:rsid w:val="00AB4E8D"/>
    <w:rsid w:val="00AB52F0"/>
    <w:rsid w:val="00AB53AE"/>
    <w:rsid w:val="00AB6212"/>
    <w:rsid w:val="00AB7D3D"/>
    <w:rsid w:val="00AB7E55"/>
    <w:rsid w:val="00AC00C4"/>
    <w:rsid w:val="00AC08EE"/>
    <w:rsid w:val="00AC28C1"/>
    <w:rsid w:val="00AC45BE"/>
    <w:rsid w:val="00AC462D"/>
    <w:rsid w:val="00AC46B7"/>
    <w:rsid w:val="00AC556B"/>
    <w:rsid w:val="00AC7225"/>
    <w:rsid w:val="00AD0186"/>
    <w:rsid w:val="00AD16AC"/>
    <w:rsid w:val="00AD45DC"/>
    <w:rsid w:val="00AD7257"/>
    <w:rsid w:val="00AD7286"/>
    <w:rsid w:val="00AD7E9E"/>
    <w:rsid w:val="00AE2665"/>
    <w:rsid w:val="00AE372A"/>
    <w:rsid w:val="00AE4834"/>
    <w:rsid w:val="00AE4B1B"/>
    <w:rsid w:val="00AE5289"/>
    <w:rsid w:val="00AE5843"/>
    <w:rsid w:val="00AE5B99"/>
    <w:rsid w:val="00AE64D5"/>
    <w:rsid w:val="00AE7D98"/>
    <w:rsid w:val="00AF0EA2"/>
    <w:rsid w:val="00AF2D0C"/>
    <w:rsid w:val="00AF3F40"/>
    <w:rsid w:val="00AF4946"/>
    <w:rsid w:val="00AF6D19"/>
    <w:rsid w:val="00AF718F"/>
    <w:rsid w:val="00B00198"/>
    <w:rsid w:val="00B005EC"/>
    <w:rsid w:val="00B01C33"/>
    <w:rsid w:val="00B01ED1"/>
    <w:rsid w:val="00B020B5"/>
    <w:rsid w:val="00B03A49"/>
    <w:rsid w:val="00B03D34"/>
    <w:rsid w:val="00B04D1A"/>
    <w:rsid w:val="00B0516D"/>
    <w:rsid w:val="00B05BDC"/>
    <w:rsid w:val="00B07853"/>
    <w:rsid w:val="00B10448"/>
    <w:rsid w:val="00B110BD"/>
    <w:rsid w:val="00B11803"/>
    <w:rsid w:val="00B138BF"/>
    <w:rsid w:val="00B142E1"/>
    <w:rsid w:val="00B148D1"/>
    <w:rsid w:val="00B14D44"/>
    <w:rsid w:val="00B14FDD"/>
    <w:rsid w:val="00B159B1"/>
    <w:rsid w:val="00B15CF3"/>
    <w:rsid w:val="00B16F0C"/>
    <w:rsid w:val="00B212D0"/>
    <w:rsid w:val="00B228CF"/>
    <w:rsid w:val="00B22AC9"/>
    <w:rsid w:val="00B236E0"/>
    <w:rsid w:val="00B24CCB"/>
    <w:rsid w:val="00B2563E"/>
    <w:rsid w:val="00B25E47"/>
    <w:rsid w:val="00B2611F"/>
    <w:rsid w:val="00B275B0"/>
    <w:rsid w:val="00B27686"/>
    <w:rsid w:val="00B27EAC"/>
    <w:rsid w:val="00B3040D"/>
    <w:rsid w:val="00B3042F"/>
    <w:rsid w:val="00B307E8"/>
    <w:rsid w:val="00B30922"/>
    <w:rsid w:val="00B30D3B"/>
    <w:rsid w:val="00B31D70"/>
    <w:rsid w:val="00B33622"/>
    <w:rsid w:val="00B33D06"/>
    <w:rsid w:val="00B349F6"/>
    <w:rsid w:val="00B34B38"/>
    <w:rsid w:val="00B34C8F"/>
    <w:rsid w:val="00B3657D"/>
    <w:rsid w:val="00B378DF"/>
    <w:rsid w:val="00B403F6"/>
    <w:rsid w:val="00B415E8"/>
    <w:rsid w:val="00B4245B"/>
    <w:rsid w:val="00B43149"/>
    <w:rsid w:val="00B432D4"/>
    <w:rsid w:val="00B43413"/>
    <w:rsid w:val="00B43943"/>
    <w:rsid w:val="00B4537E"/>
    <w:rsid w:val="00B453ED"/>
    <w:rsid w:val="00B455C6"/>
    <w:rsid w:val="00B460E4"/>
    <w:rsid w:val="00B4712D"/>
    <w:rsid w:val="00B4785E"/>
    <w:rsid w:val="00B47A64"/>
    <w:rsid w:val="00B47C5B"/>
    <w:rsid w:val="00B5039B"/>
    <w:rsid w:val="00B50B47"/>
    <w:rsid w:val="00B52BD0"/>
    <w:rsid w:val="00B52C21"/>
    <w:rsid w:val="00B53949"/>
    <w:rsid w:val="00B54F99"/>
    <w:rsid w:val="00B56BA4"/>
    <w:rsid w:val="00B57640"/>
    <w:rsid w:val="00B576D7"/>
    <w:rsid w:val="00B57E18"/>
    <w:rsid w:val="00B607B8"/>
    <w:rsid w:val="00B60C47"/>
    <w:rsid w:val="00B60E6D"/>
    <w:rsid w:val="00B6235D"/>
    <w:rsid w:val="00B6266E"/>
    <w:rsid w:val="00B62B1B"/>
    <w:rsid w:val="00B63737"/>
    <w:rsid w:val="00B645CF"/>
    <w:rsid w:val="00B6723C"/>
    <w:rsid w:val="00B67A51"/>
    <w:rsid w:val="00B67F77"/>
    <w:rsid w:val="00B700E6"/>
    <w:rsid w:val="00B707ED"/>
    <w:rsid w:val="00B71D06"/>
    <w:rsid w:val="00B72912"/>
    <w:rsid w:val="00B72D6C"/>
    <w:rsid w:val="00B73720"/>
    <w:rsid w:val="00B755D7"/>
    <w:rsid w:val="00B762A3"/>
    <w:rsid w:val="00B76550"/>
    <w:rsid w:val="00B76E39"/>
    <w:rsid w:val="00B77EFA"/>
    <w:rsid w:val="00B80892"/>
    <w:rsid w:val="00B80AAD"/>
    <w:rsid w:val="00B81340"/>
    <w:rsid w:val="00B82735"/>
    <w:rsid w:val="00B84A84"/>
    <w:rsid w:val="00B84FAE"/>
    <w:rsid w:val="00B854F1"/>
    <w:rsid w:val="00B876C0"/>
    <w:rsid w:val="00B9066E"/>
    <w:rsid w:val="00B92861"/>
    <w:rsid w:val="00B940CA"/>
    <w:rsid w:val="00B949D7"/>
    <w:rsid w:val="00B958A6"/>
    <w:rsid w:val="00B96B0A"/>
    <w:rsid w:val="00B976A3"/>
    <w:rsid w:val="00B97EC2"/>
    <w:rsid w:val="00BA0596"/>
    <w:rsid w:val="00BA0709"/>
    <w:rsid w:val="00BA1643"/>
    <w:rsid w:val="00BA2E30"/>
    <w:rsid w:val="00BA38D4"/>
    <w:rsid w:val="00BA524C"/>
    <w:rsid w:val="00BA5311"/>
    <w:rsid w:val="00BA5C57"/>
    <w:rsid w:val="00BA6353"/>
    <w:rsid w:val="00BA6462"/>
    <w:rsid w:val="00BA7A69"/>
    <w:rsid w:val="00BA7BDA"/>
    <w:rsid w:val="00BB1043"/>
    <w:rsid w:val="00BB1794"/>
    <w:rsid w:val="00BB493C"/>
    <w:rsid w:val="00BB4B65"/>
    <w:rsid w:val="00BB6444"/>
    <w:rsid w:val="00BB64E0"/>
    <w:rsid w:val="00BC0AC4"/>
    <w:rsid w:val="00BC3052"/>
    <w:rsid w:val="00BC3CA5"/>
    <w:rsid w:val="00BC7239"/>
    <w:rsid w:val="00BD0A46"/>
    <w:rsid w:val="00BD1B07"/>
    <w:rsid w:val="00BD1D51"/>
    <w:rsid w:val="00BD28DF"/>
    <w:rsid w:val="00BD3754"/>
    <w:rsid w:val="00BD4827"/>
    <w:rsid w:val="00BD4D92"/>
    <w:rsid w:val="00BD4E12"/>
    <w:rsid w:val="00BD7669"/>
    <w:rsid w:val="00BD79BF"/>
    <w:rsid w:val="00BE06D6"/>
    <w:rsid w:val="00BE2864"/>
    <w:rsid w:val="00BE2D65"/>
    <w:rsid w:val="00BE309C"/>
    <w:rsid w:val="00BE39D3"/>
    <w:rsid w:val="00BE6799"/>
    <w:rsid w:val="00BE7775"/>
    <w:rsid w:val="00BE77F9"/>
    <w:rsid w:val="00BF0543"/>
    <w:rsid w:val="00BF0A8D"/>
    <w:rsid w:val="00BF100C"/>
    <w:rsid w:val="00BF3831"/>
    <w:rsid w:val="00BF639C"/>
    <w:rsid w:val="00BF673F"/>
    <w:rsid w:val="00BF6F5E"/>
    <w:rsid w:val="00C00212"/>
    <w:rsid w:val="00C00D20"/>
    <w:rsid w:val="00C020B0"/>
    <w:rsid w:val="00C0375E"/>
    <w:rsid w:val="00C042DB"/>
    <w:rsid w:val="00C0561A"/>
    <w:rsid w:val="00C065D7"/>
    <w:rsid w:val="00C06834"/>
    <w:rsid w:val="00C076BF"/>
    <w:rsid w:val="00C108A6"/>
    <w:rsid w:val="00C10C10"/>
    <w:rsid w:val="00C116ED"/>
    <w:rsid w:val="00C11DF6"/>
    <w:rsid w:val="00C11E0D"/>
    <w:rsid w:val="00C157D9"/>
    <w:rsid w:val="00C15FDC"/>
    <w:rsid w:val="00C17A8D"/>
    <w:rsid w:val="00C2045B"/>
    <w:rsid w:val="00C20619"/>
    <w:rsid w:val="00C2138B"/>
    <w:rsid w:val="00C21DA0"/>
    <w:rsid w:val="00C22BC4"/>
    <w:rsid w:val="00C24FEC"/>
    <w:rsid w:val="00C254A9"/>
    <w:rsid w:val="00C26DBB"/>
    <w:rsid w:val="00C2730D"/>
    <w:rsid w:val="00C2772B"/>
    <w:rsid w:val="00C279F1"/>
    <w:rsid w:val="00C27DED"/>
    <w:rsid w:val="00C27F02"/>
    <w:rsid w:val="00C33717"/>
    <w:rsid w:val="00C33A7C"/>
    <w:rsid w:val="00C34633"/>
    <w:rsid w:val="00C3474A"/>
    <w:rsid w:val="00C34B16"/>
    <w:rsid w:val="00C357B8"/>
    <w:rsid w:val="00C36C66"/>
    <w:rsid w:val="00C37C75"/>
    <w:rsid w:val="00C37D48"/>
    <w:rsid w:val="00C430A5"/>
    <w:rsid w:val="00C44519"/>
    <w:rsid w:val="00C44550"/>
    <w:rsid w:val="00C451DE"/>
    <w:rsid w:val="00C4555C"/>
    <w:rsid w:val="00C45FDB"/>
    <w:rsid w:val="00C469C9"/>
    <w:rsid w:val="00C46B19"/>
    <w:rsid w:val="00C46EBA"/>
    <w:rsid w:val="00C47BB4"/>
    <w:rsid w:val="00C47DD0"/>
    <w:rsid w:val="00C503BC"/>
    <w:rsid w:val="00C504F4"/>
    <w:rsid w:val="00C51E0A"/>
    <w:rsid w:val="00C53C13"/>
    <w:rsid w:val="00C542DD"/>
    <w:rsid w:val="00C54797"/>
    <w:rsid w:val="00C54FD3"/>
    <w:rsid w:val="00C56A1A"/>
    <w:rsid w:val="00C57E85"/>
    <w:rsid w:val="00C60F7A"/>
    <w:rsid w:val="00C61EE6"/>
    <w:rsid w:val="00C629DA"/>
    <w:rsid w:val="00C62F8C"/>
    <w:rsid w:val="00C638BA"/>
    <w:rsid w:val="00C6390B"/>
    <w:rsid w:val="00C641DF"/>
    <w:rsid w:val="00C64959"/>
    <w:rsid w:val="00C64C37"/>
    <w:rsid w:val="00C65BB4"/>
    <w:rsid w:val="00C65BEE"/>
    <w:rsid w:val="00C665B5"/>
    <w:rsid w:val="00C66AE8"/>
    <w:rsid w:val="00C670FA"/>
    <w:rsid w:val="00C67126"/>
    <w:rsid w:val="00C677BC"/>
    <w:rsid w:val="00C71500"/>
    <w:rsid w:val="00C715D0"/>
    <w:rsid w:val="00C72C31"/>
    <w:rsid w:val="00C7358A"/>
    <w:rsid w:val="00C73642"/>
    <w:rsid w:val="00C7370C"/>
    <w:rsid w:val="00C73A60"/>
    <w:rsid w:val="00C741F3"/>
    <w:rsid w:val="00C759D5"/>
    <w:rsid w:val="00C760AB"/>
    <w:rsid w:val="00C77873"/>
    <w:rsid w:val="00C77ABB"/>
    <w:rsid w:val="00C77C34"/>
    <w:rsid w:val="00C8071C"/>
    <w:rsid w:val="00C816CB"/>
    <w:rsid w:val="00C82461"/>
    <w:rsid w:val="00C82C4E"/>
    <w:rsid w:val="00C82D2C"/>
    <w:rsid w:val="00C834F4"/>
    <w:rsid w:val="00C83B52"/>
    <w:rsid w:val="00C84F21"/>
    <w:rsid w:val="00C86B54"/>
    <w:rsid w:val="00C87F35"/>
    <w:rsid w:val="00C9022D"/>
    <w:rsid w:val="00C904E9"/>
    <w:rsid w:val="00C90BB7"/>
    <w:rsid w:val="00C9133C"/>
    <w:rsid w:val="00C916FA"/>
    <w:rsid w:val="00C919D5"/>
    <w:rsid w:val="00C91F46"/>
    <w:rsid w:val="00C92D71"/>
    <w:rsid w:val="00C9386E"/>
    <w:rsid w:val="00C952DD"/>
    <w:rsid w:val="00C958F8"/>
    <w:rsid w:val="00C95C0C"/>
    <w:rsid w:val="00C96F88"/>
    <w:rsid w:val="00CA035A"/>
    <w:rsid w:val="00CA07CC"/>
    <w:rsid w:val="00CA1578"/>
    <w:rsid w:val="00CA2623"/>
    <w:rsid w:val="00CA2871"/>
    <w:rsid w:val="00CA3BD4"/>
    <w:rsid w:val="00CA4439"/>
    <w:rsid w:val="00CA4FCE"/>
    <w:rsid w:val="00CA55EB"/>
    <w:rsid w:val="00CA5D42"/>
    <w:rsid w:val="00CA5F8F"/>
    <w:rsid w:val="00CA7168"/>
    <w:rsid w:val="00CA76AD"/>
    <w:rsid w:val="00CB086C"/>
    <w:rsid w:val="00CB1970"/>
    <w:rsid w:val="00CB198C"/>
    <w:rsid w:val="00CB20E4"/>
    <w:rsid w:val="00CB2B0D"/>
    <w:rsid w:val="00CB2F13"/>
    <w:rsid w:val="00CB31D4"/>
    <w:rsid w:val="00CB43C0"/>
    <w:rsid w:val="00CB458D"/>
    <w:rsid w:val="00CB5671"/>
    <w:rsid w:val="00CB5BB7"/>
    <w:rsid w:val="00CC0465"/>
    <w:rsid w:val="00CC0513"/>
    <w:rsid w:val="00CC07F9"/>
    <w:rsid w:val="00CC1A24"/>
    <w:rsid w:val="00CC1ECD"/>
    <w:rsid w:val="00CC3ABA"/>
    <w:rsid w:val="00CC4A56"/>
    <w:rsid w:val="00CC5A6F"/>
    <w:rsid w:val="00CC7447"/>
    <w:rsid w:val="00CC7881"/>
    <w:rsid w:val="00CD0FB9"/>
    <w:rsid w:val="00CD1597"/>
    <w:rsid w:val="00CD1956"/>
    <w:rsid w:val="00CD4478"/>
    <w:rsid w:val="00CD4CDC"/>
    <w:rsid w:val="00CD51B0"/>
    <w:rsid w:val="00CD660E"/>
    <w:rsid w:val="00CD7A7E"/>
    <w:rsid w:val="00CE271A"/>
    <w:rsid w:val="00CE2D59"/>
    <w:rsid w:val="00CE3897"/>
    <w:rsid w:val="00CE673F"/>
    <w:rsid w:val="00CE6FF5"/>
    <w:rsid w:val="00CE76B8"/>
    <w:rsid w:val="00CE7F06"/>
    <w:rsid w:val="00CF0991"/>
    <w:rsid w:val="00CF11D5"/>
    <w:rsid w:val="00CF2C23"/>
    <w:rsid w:val="00CF2EC7"/>
    <w:rsid w:val="00CF31D4"/>
    <w:rsid w:val="00CF3B31"/>
    <w:rsid w:val="00CF4636"/>
    <w:rsid w:val="00CF4920"/>
    <w:rsid w:val="00CF5245"/>
    <w:rsid w:val="00CF6592"/>
    <w:rsid w:val="00CF66BE"/>
    <w:rsid w:val="00CF757E"/>
    <w:rsid w:val="00D00FC3"/>
    <w:rsid w:val="00D01206"/>
    <w:rsid w:val="00D0121B"/>
    <w:rsid w:val="00D0149A"/>
    <w:rsid w:val="00D02282"/>
    <w:rsid w:val="00D0351E"/>
    <w:rsid w:val="00D03E18"/>
    <w:rsid w:val="00D04BA8"/>
    <w:rsid w:val="00D05052"/>
    <w:rsid w:val="00D06479"/>
    <w:rsid w:val="00D06CA9"/>
    <w:rsid w:val="00D06FCA"/>
    <w:rsid w:val="00D076EE"/>
    <w:rsid w:val="00D07B1A"/>
    <w:rsid w:val="00D10183"/>
    <w:rsid w:val="00D10257"/>
    <w:rsid w:val="00D11141"/>
    <w:rsid w:val="00D137F6"/>
    <w:rsid w:val="00D143AE"/>
    <w:rsid w:val="00D148D7"/>
    <w:rsid w:val="00D14D79"/>
    <w:rsid w:val="00D14F79"/>
    <w:rsid w:val="00D14FE9"/>
    <w:rsid w:val="00D15132"/>
    <w:rsid w:val="00D1673A"/>
    <w:rsid w:val="00D16D92"/>
    <w:rsid w:val="00D20088"/>
    <w:rsid w:val="00D20952"/>
    <w:rsid w:val="00D20971"/>
    <w:rsid w:val="00D217AC"/>
    <w:rsid w:val="00D21A74"/>
    <w:rsid w:val="00D2300A"/>
    <w:rsid w:val="00D242FF"/>
    <w:rsid w:val="00D24CD0"/>
    <w:rsid w:val="00D27D00"/>
    <w:rsid w:val="00D27D18"/>
    <w:rsid w:val="00D30E46"/>
    <w:rsid w:val="00D3262F"/>
    <w:rsid w:val="00D3370F"/>
    <w:rsid w:val="00D34BFB"/>
    <w:rsid w:val="00D34C35"/>
    <w:rsid w:val="00D35DAB"/>
    <w:rsid w:val="00D37AA7"/>
    <w:rsid w:val="00D37F09"/>
    <w:rsid w:val="00D40FC0"/>
    <w:rsid w:val="00D422CC"/>
    <w:rsid w:val="00D42B27"/>
    <w:rsid w:val="00D50AC8"/>
    <w:rsid w:val="00D51F9C"/>
    <w:rsid w:val="00D52182"/>
    <w:rsid w:val="00D523AE"/>
    <w:rsid w:val="00D52BFF"/>
    <w:rsid w:val="00D5357C"/>
    <w:rsid w:val="00D53EEF"/>
    <w:rsid w:val="00D540C4"/>
    <w:rsid w:val="00D546C9"/>
    <w:rsid w:val="00D553B2"/>
    <w:rsid w:val="00D56072"/>
    <w:rsid w:val="00D5627A"/>
    <w:rsid w:val="00D5677B"/>
    <w:rsid w:val="00D56D47"/>
    <w:rsid w:val="00D57FB7"/>
    <w:rsid w:val="00D6000E"/>
    <w:rsid w:val="00D602C4"/>
    <w:rsid w:val="00D6037E"/>
    <w:rsid w:val="00D61683"/>
    <w:rsid w:val="00D64D7B"/>
    <w:rsid w:val="00D669A8"/>
    <w:rsid w:val="00D66B45"/>
    <w:rsid w:val="00D66C41"/>
    <w:rsid w:val="00D67CF0"/>
    <w:rsid w:val="00D73726"/>
    <w:rsid w:val="00D73AB6"/>
    <w:rsid w:val="00D74A1B"/>
    <w:rsid w:val="00D767E9"/>
    <w:rsid w:val="00D776BF"/>
    <w:rsid w:val="00D800AA"/>
    <w:rsid w:val="00D809F2"/>
    <w:rsid w:val="00D82754"/>
    <w:rsid w:val="00D83F3E"/>
    <w:rsid w:val="00D843D3"/>
    <w:rsid w:val="00D8456B"/>
    <w:rsid w:val="00D8484F"/>
    <w:rsid w:val="00D86516"/>
    <w:rsid w:val="00D86FE6"/>
    <w:rsid w:val="00D904D5"/>
    <w:rsid w:val="00D90789"/>
    <w:rsid w:val="00D909C2"/>
    <w:rsid w:val="00D92357"/>
    <w:rsid w:val="00D92B8A"/>
    <w:rsid w:val="00D92BC8"/>
    <w:rsid w:val="00D9323C"/>
    <w:rsid w:val="00D945B3"/>
    <w:rsid w:val="00D948A1"/>
    <w:rsid w:val="00D94AD0"/>
    <w:rsid w:val="00D95E8B"/>
    <w:rsid w:val="00D96B4E"/>
    <w:rsid w:val="00D973F9"/>
    <w:rsid w:val="00DA0026"/>
    <w:rsid w:val="00DA0E7F"/>
    <w:rsid w:val="00DA0EA5"/>
    <w:rsid w:val="00DA1FC7"/>
    <w:rsid w:val="00DA3A8A"/>
    <w:rsid w:val="00DA444C"/>
    <w:rsid w:val="00DA51C1"/>
    <w:rsid w:val="00DA57EF"/>
    <w:rsid w:val="00DA61CC"/>
    <w:rsid w:val="00DA66DC"/>
    <w:rsid w:val="00DB02C2"/>
    <w:rsid w:val="00DB165A"/>
    <w:rsid w:val="00DB1E62"/>
    <w:rsid w:val="00DB2232"/>
    <w:rsid w:val="00DB297E"/>
    <w:rsid w:val="00DB48F7"/>
    <w:rsid w:val="00DB5B9D"/>
    <w:rsid w:val="00DB5E45"/>
    <w:rsid w:val="00DB74EA"/>
    <w:rsid w:val="00DB763E"/>
    <w:rsid w:val="00DC0EEF"/>
    <w:rsid w:val="00DC13EC"/>
    <w:rsid w:val="00DC1749"/>
    <w:rsid w:val="00DC2876"/>
    <w:rsid w:val="00DC3F7C"/>
    <w:rsid w:val="00DC44B9"/>
    <w:rsid w:val="00DC50EC"/>
    <w:rsid w:val="00DC6EF6"/>
    <w:rsid w:val="00DC7250"/>
    <w:rsid w:val="00DC7B3F"/>
    <w:rsid w:val="00DD08C3"/>
    <w:rsid w:val="00DD13EE"/>
    <w:rsid w:val="00DD2D68"/>
    <w:rsid w:val="00DD2E11"/>
    <w:rsid w:val="00DD328D"/>
    <w:rsid w:val="00DD3373"/>
    <w:rsid w:val="00DD34DB"/>
    <w:rsid w:val="00DD5E9B"/>
    <w:rsid w:val="00DD6CE9"/>
    <w:rsid w:val="00DD7CB6"/>
    <w:rsid w:val="00DE12B4"/>
    <w:rsid w:val="00DE1AA9"/>
    <w:rsid w:val="00DE2F6E"/>
    <w:rsid w:val="00DE32E8"/>
    <w:rsid w:val="00DE3BB9"/>
    <w:rsid w:val="00DE4748"/>
    <w:rsid w:val="00DE74CB"/>
    <w:rsid w:val="00DE7804"/>
    <w:rsid w:val="00DE78D5"/>
    <w:rsid w:val="00DF0955"/>
    <w:rsid w:val="00DF0A55"/>
    <w:rsid w:val="00DF0BFD"/>
    <w:rsid w:val="00DF1AA1"/>
    <w:rsid w:val="00DF1E2E"/>
    <w:rsid w:val="00DF2C67"/>
    <w:rsid w:val="00DF3AE2"/>
    <w:rsid w:val="00DF469C"/>
    <w:rsid w:val="00DF7D21"/>
    <w:rsid w:val="00DF7D5E"/>
    <w:rsid w:val="00E0173F"/>
    <w:rsid w:val="00E024B3"/>
    <w:rsid w:val="00E0275D"/>
    <w:rsid w:val="00E028AC"/>
    <w:rsid w:val="00E02F98"/>
    <w:rsid w:val="00E0365B"/>
    <w:rsid w:val="00E046E4"/>
    <w:rsid w:val="00E059C5"/>
    <w:rsid w:val="00E05BD2"/>
    <w:rsid w:val="00E06B29"/>
    <w:rsid w:val="00E06C22"/>
    <w:rsid w:val="00E07DFD"/>
    <w:rsid w:val="00E106B8"/>
    <w:rsid w:val="00E110E2"/>
    <w:rsid w:val="00E11E4F"/>
    <w:rsid w:val="00E12754"/>
    <w:rsid w:val="00E1289A"/>
    <w:rsid w:val="00E12B2E"/>
    <w:rsid w:val="00E13CE7"/>
    <w:rsid w:val="00E13F99"/>
    <w:rsid w:val="00E142F3"/>
    <w:rsid w:val="00E14F50"/>
    <w:rsid w:val="00E152BB"/>
    <w:rsid w:val="00E16290"/>
    <w:rsid w:val="00E20647"/>
    <w:rsid w:val="00E21C95"/>
    <w:rsid w:val="00E22066"/>
    <w:rsid w:val="00E220CC"/>
    <w:rsid w:val="00E226BC"/>
    <w:rsid w:val="00E2282A"/>
    <w:rsid w:val="00E23693"/>
    <w:rsid w:val="00E2667C"/>
    <w:rsid w:val="00E26BAC"/>
    <w:rsid w:val="00E30AC2"/>
    <w:rsid w:val="00E34D1B"/>
    <w:rsid w:val="00E3621A"/>
    <w:rsid w:val="00E36452"/>
    <w:rsid w:val="00E36F22"/>
    <w:rsid w:val="00E4014A"/>
    <w:rsid w:val="00E408D1"/>
    <w:rsid w:val="00E41F22"/>
    <w:rsid w:val="00E42B24"/>
    <w:rsid w:val="00E43B61"/>
    <w:rsid w:val="00E441A6"/>
    <w:rsid w:val="00E4763F"/>
    <w:rsid w:val="00E47708"/>
    <w:rsid w:val="00E4781B"/>
    <w:rsid w:val="00E51562"/>
    <w:rsid w:val="00E51A72"/>
    <w:rsid w:val="00E51F8B"/>
    <w:rsid w:val="00E51F91"/>
    <w:rsid w:val="00E53B06"/>
    <w:rsid w:val="00E53E94"/>
    <w:rsid w:val="00E54923"/>
    <w:rsid w:val="00E57BFE"/>
    <w:rsid w:val="00E60351"/>
    <w:rsid w:val="00E62434"/>
    <w:rsid w:val="00E6436E"/>
    <w:rsid w:val="00E65F94"/>
    <w:rsid w:val="00E672B3"/>
    <w:rsid w:val="00E71AE7"/>
    <w:rsid w:val="00E71F80"/>
    <w:rsid w:val="00E744DD"/>
    <w:rsid w:val="00E74F70"/>
    <w:rsid w:val="00E752E6"/>
    <w:rsid w:val="00E75828"/>
    <w:rsid w:val="00E77956"/>
    <w:rsid w:val="00E77DE8"/>
    <w:rsid w:val="00E80635"/>
    <w:rsid w:val="00E80AB6"/>
    <w:rsid w:val="00E80D43"/>
    <w:rsid w:val="00E82329"/>
    <w:rsid w:val="00E8244B"/>
    <w:rsid w:val="00E82FF8"/>
    <w:rsid w:val="00E85639"/>
    <w:rsid w:val="00E86A54"/>
    <w:rsid w:val="00E90C07"/>
    <w:rsid w:val="00E919A3"/>
    <w:rsid w:val="00E92513"/>
    <w:rsid w:val="00E9268E"/>
    <w:rsid w:val="00E93336"/>
    <w:rsid w:val="00E933BC"/>
    <w:rsid w:val="00E937D2"/>
    <w:rsid w:val="00E9398A"/>
    <w:rsid w:val="00E93E98"/>
    <w:rsid w:val="00E940B1"/>
    <w:rsid w:val="00E9468B"/>
    <w:rsid w:val="00E9520F"/>
    <w:rsid w:val="00E95985"/>
    <w:rsid w:val="00E96E6E"/>
    <w:rsid w:val="00E97060"/>
    <w:rsid w:val="00E97135"/>
    <w:rsid w:val="00EA0006"/>
    <w:rsid w:val="00EA0D68"/>
    <w:rsid w:val="00EA1323"/>
    <w:rsid w:val="00EA15FB"/>
    <w:rsid w:val="00EA3405"/>
    <w:rsid w:val="00EA4546"/>
    <w:rsid w:val="00EA5F87"/>
    <w:rsid w:val="00EA6088"/>
    <w:rsid w:val="00EA63BC"/>
    <w:rsid w:val="00EA7938"/>
    <w:rsid w:val="00EA7CBF"/>
    <w:rsid w:val="00EB1FE8"/>
    <w:rsid w:val="00EB2B40"/>
    <w:rsid w:val="00EB33F4"/>
    <w:rsid w:val="00EB43CE"/>
    <w:rsid w:val="00EB5322"/>
    <w:rsid w:val="00EB5594"/>
    <w:rsid w:val="00EB5A67"/>
    <w:rsid w:val="00EB656D"/>
    <w:rsid w:val="00EB753B"/>
    <w:rsid w:val="00EC0770"/>
    <w:rsid w:val="00EC0C6E"/>
    <w:rsid w:val="00EC1A2C"/>
    <w:rsid w:val="00EC2798"/>
    <w:rsid w:val="00EC36D7"/>
    <w:rsid w:val="00EC379D"/>
    <w:rsid w:val="00EC4346"/>
    <w:rsid w:val="00EC5AFE"/>
    <w:rsid w:val="00EC7A16"/>
    <w:rsid w:val="00ED0114"/>
    <w:rsid w:val="00ED017A"/>
    <w:rsid w:val="00ED0D9C"/>
    <w:rsid w:val="00ED1DA3"/>
    <w:rsid w:val="00ED3AF1"/>
    <w:rsid w:val="00ED3FF6"/>
    <w:rsid w:val="00ED4707"/>
    <w:rsid w:val="00ED51BA"/>
    <w:rsid w:val="00ED551F"/>
    <w:rsid w:val="00ED69AE"/>
    <w:rsid w:val="00ED78EC"/>
    <w:rsid w:val="00EE086E"/>
    <w:rsid w:val="00EE27B5"/>
    <w:rsid w:val="00EE2AA7"/>
    <w:rsid w:val="00EE2B1F"/>
    <w:rsid w:val="00EE336B"/>
    <w:rsid w:val="00EE35C3"/>
    <w:rsid w:val="00EE3815"/>
    <w:rsid w:val="00EE532F"/>
    <w:rsid w:val="00EE5545"/>
    <w:rsid w:val="00EE6045"/>
    <w:rsid w:val="00EF016E"/>
    <w:rsid w:val="00EF131F"/>
    <w:rsid w:val="00EF5ED0"/>
    <w:rsid w:val="00EF71BD"/>
    <w:rsid w:val="00EF7780"/>
    <w:rsid w:val="00EF7E5D"/>
    <w:rsid w:val="00F01953"/>
    <w:rsid w:val="00F01E36"/>
    <w:rsid w:val="00F02A71"/>
    <w:rsid w:val="00F0317E"/>
    <w:rsid w:val="00F057EB"/>
    <w:rsid w:val="00F05D60"/>
    <w:rsid w:val="00F06B83"/>
    <w:rsid w:val="00F06B9B"/>
    <w:rsid w:val="00F0730D"/>
    <w:rsid w:val="00F073C9"/>
    <w:rsid w:val="00F10DDD"/>
    <w:rsid w:val="00F10E1F"/>
    <w:rsid w:val="00F12213"/>
    <w:rsid w:val="00F13644"/>
    <w:rsid w:val="00F13EA3"/>
    <w:rsid w:val="00F170C1"/>
    <w:rsid w:val="00F17673"/>
    <w:rsid w:val="00F2020F"/>
    <w:rsid w:val="00F212EB"/>
    <w:rsid w:val="00F22819"/>
    <w:rsid w:val="00F237D3"/>
    <w:rsid w:val="00F24485"/>
    <w:rsid w:val="00F250DA"/>
    <w:rsid w:val="00F25499"/>
    <w:rsid w:val="00F25615"/>
    <w:rsid w:val="00F25A3E"/>
    <w:rsid w:val="00F268C0"/>
    <w:rsid w:val="00F276CD"/>
    <w:rsid w:val="00F34DDB"/>
    <w:rsid w:val="00F35516"/>
    <w:rsid w:val="00F356E6"/>
    <w:rsid w:val="00F3581B"/>
    <w:rsid w:val="00F36769"/>
    <w:rsid w:val="00F37549"/>
    <w:rsid w:val="00F37655"/>
    <w:rsid w:val="00F37691"/>
    <w:rsid w:val="00F37CE8"/>
    <w:rsid w:val="00F43C4C"/>
    <w:rsid w:val="00F45A8B"/>
    <w:rsid w:val="00F461CC"/>
    <w:rsid w:val="00F463F7"/>
    <w:rsid w:val="00F465D3"/>
    <w:rsid w:val="00F46652"/>
    <w:rsid w:val="00F476C9"/>
    <w:rsid w:val="00F47C63"/>
    <w:rsid w:val="00F50446"/>
    <w:rsid w:val="00F520DB"/>
    <w:rsid w:val="00F54D66"/>
    <w:rsid w:val="00F54EBE"/>
    <w:rsid w:val="00F55E17"/>
    <w:rsid w:val="00F55F79"/>
    <w:rsid w:val="00F569C9"/>
    <w:rsid w:val="00F56C82"/>
    <w:rsid w:val="00F56F06"/>
    <w:rsid w:val="00F5775E"/>
    <w:rsid w:val="00F579A3"/>
    <w:rsid w:val="00F57EF0"/>
    <w:rsid w:val="00F60AEB"/>
    <w:rsid w:val="00F61958"/>
    <w:rsid w:val="00F6213E"/>
    <w:rsid w:val="00F62DD0"/>
    <w:rsid w:val="00F64399"/>
    <w:rsid w:val="00F6601D"/>
    <w:rsid w:val="00F66345"/>
    <w:rsid w:val="00F6737A"/>
    <w:rsid w:val="00F679DA"/>
    <w:rsid w:val="00F72802"/>
    <w:rsid w:val="00F73815"/>
    <w:rsid w:val="00F73831"/>
    <w:rsid w:val="00F747A3"/>
    <w:rsid w:val="00F74931"/>
    <w:rsid w:val="00F74DA6"/>
    <w:rsid w:val="00F75158"/>
    <w:rsid w:val="00F76103"/>
    <w:rsid w:val="00F7770D"/>
    <w:rsid w:val="00F8454E"/>
    <w:rsid w:val="00F85046"/>
    <w:rsid w:val="00F85430"/>
    <w:rsid w:val="00F85984"/>
    <w:rsid w:val="00F85B91"/>
    <w:rsid w:val="00F85DD2"/>
    <w:rsid w:val="00F868C9"/>
    <w:rsid w:val="00F86937"/>
    <w:rsid w:val="00F86CD6"/>
    <w:rsid w:val="00F86E1C"/>
    <w:rsid w:val="00F86EFE"/>
    <w:rsid w:val="00F87811"/>
    <w:rsid w:val="00F905B9"/>
    <w:rsid w:val="00F91C86"/>
    <w:rsid w:val="00F93115"/>
    <w:rsid w:val="00F933B5"/>
    <w:rsid w:val="00F93D2C"/>
    <w:rsid w:val="00F94E8B"/>
    <w:rsid w:val="00F95182"/>
    <w:rsid w:val="00F96929"/>
    <w:rsid w:val="00F97DAD"/>
    <w:rsid w:val="00FA001D"/>
    <w:rsid w:val="00FA085A"/>
    <w:rsid w:val="00FA1407"/>
    <w:rsid w:val="00FA264F"/>
    <w:rsid w:val="00FA2C85"/>
    <w:rsid w:val="00FA2DE6"/>
    <w:rsid w:val="00FA2F59"/>
    <w:rsid w:val="00FA4B97"/>
    <w:rsid w:val="00FA5792"/>
    <w:rsid w:val="00FA5B5D"/>
    <w:rsid w:val="00FA63DC"/>
    <w:rsid w:val="00FA7B58"/>
    <w:rsid w:val="00FB1115"/>
    <w:rsid w:val="00FB1214"/>
    <w:rsid w:val="00FB200D"/>
    <w:rsid w:val="00FB2483"/>
    <w:rsid w:val="00FB2796"/>
    <w:rsid w:val="00FB2D3E"/>
    <w:rsid w:val="00FB3741"/>
    <w:rsid w:val="00FB40F9"/>
    <w:rsid w:val="00FB468A"/>
    <w:rsid w:val="00FB4AE6"/>
    <w:rsid w:val="00FB4FEF"/>
    <w:rsid w:val="00FB6064"/>
    <w:rsid w:val="00FC07BA"/>
    <w:rsid w:val="00FC0A52"/>
    <w:rsid w:val="00FC2159"/>
    <w:rsid w:val="00FC363F"/>
    <w:rsid w:val="00FC576C"/>
    <w:rsid w:val="00FC74F9"/>
    <w:rsid w:val="00FC75CB"/>
    <w:rsid w:val="00FD3B76"/>
    <w:rsid w:val="00FD55BA"/>
    <w:rsid w:val="00FD5627"/>
    <w:rsid w:val="00FD5715"/>
    <w:rsid w:val="00FD6967"/>
    <w:rsid w:val="00FD6A77"/>
    <w:rsid w:val="00FD6E08"/>
    <w:rsid w:val="00FD7815"/>
    <w:rsid w:val="00FE1E2F"/>
    <w:rsid w:val="00FE2391"/>
    <w:rsid w:val="00FE2607"/>
    <w:rsid w:val="00FE448F"/>
    <w:rsid w:val="00FE5114"/>
    <w:rsid w:val="00FE538A"/>
    <w:rsid w:val="00FE62DE"/>
    <w:rsid w:val="00FE65B4"/>
    <w:rsid w:val="00FE7C18"/>
    <w:rsid w:val="00FE7EEC"/>
    <w:rsid w:val="00FF08AB"/>
    <w:rsid w:val="00FF08B2"/>
    <w:rsid w:val="00FF12B9"/>
    <w:rsid w:val="00FF1D82"/>
    <w:rsid w:val="00FF21DE"/>
    <w:rsid w:val="00FF4B34"/>
    <w:rsid w:val="00FF5297"/>
    <w:rsid w:val="00FF6468"/>
    <w:rsid w:val="00FF765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F1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ECC Base"/>
    <w:qFormat/>
    <w:rsid w:val="00EB33F4"/>
    <w:rPr>
      <w:rFonts w:eastAsia="Calibri"/>
      <w:szCs w:val="22"/>
      <w:lang w:val="en-GB"/>
    </w:rPr>
  </w:style>
  <w:style w:type="paragraph" w:styleId="Titre1">
    <w:name w:val="heading 1"/>
    <w:aliases w:val="ECC Heading 1"/>
    <w:next w:val="Normal"/>
    <w:qFormat/>
    <w:rsid w:val="009F0B56"/>
    <w:pPr>
      <w:keepNext/>
      <w:numPr>
        <w:numId w:val="7"/>
      </w:numPr>
      <w:spacing w:before="600"/>
      <w:jc w:val="left"/>
      <w:outlineLvl w:val="0"/>
    </w:pPr>
    <w:rPr>
      <w:rFonts w:eastAsia="Calibri" w:cs="Arial"/>
      <w:b/>
      <w:bCs/>
      <w:caps/>
      <w:color w:val="D2232A"/>
      <w:kern w:val="32"/>
      <w:szCs w:val="32"/>
    </w:rPr>
  </w:style>
  <w:style w:type="paragraph" w:styleId="Titre2">
    <w:name w:val="heading 2"/>
    <w:aliases w:val="ECC Heading 2"/>
    <w:next w:val="Normal"/>
    <w:qFormat/>
    <w:rsid w:val="009F0B56"/>
    <w:pPr>
      <w:keepNext/>
      <w:numPr>
        <w:ilvl w:val="1"/>
        <w:numId w:val="7"/>
      </w:numPr>
      <w:spacing w:before="480"/>
      <w:jc w:val="left"/>
      <w:outlineLvl w:val="1"/>
    </w:pPr>
    <w:rPr>
      <w:rFonts w:eastAsia="Calibri" w:cs="Arial"/>
      <w:b/>
      <w:bCs/>
      <w:iCs/>
      <w:caps/>
      <w:szCs w:val="28"/>
    </w:rPr>
  </w:style>
  <w:style w:type="paragraph" w:styleId="Titre3">
    <w:name w:val="heading 3"/>
    <w:aliases w:val="ECC Heading 3"/>
    <w:next w:val="Normal"/>
    <w:qFormat/>
    <w:rsid w:val="009F0B56"/>
    <w:pPr>
      <w:keepNext/>
      <w:numPr>
        <w:ilvl w:val="2"/>
        <w:numId w:val="7"/>
      </w:numPr>
      <w:spacing w:before="360"/>
      <w:jc w:val="left"/>
      <w:outlineLvl w:val="2"/>
    </w:pPr>
    <w:rPr>
      <w:rFonts w:eastAsia="Calibri" w:cs="Arial"/>
      <w:b/>
      <w:bCs/>
      <w:szCs w:val="26"/>
    </w:rPr>
  </w:style>
  <w:style w:type="paragraph" w:styleId="Titre4">
    <w:name w:val="heading 4"/>
    <w:aliases w:val="ECC Heading 4"/>
    <w:next w:val="Normal"/>
    <w:qFormat/>
    <w:rsid w:val="009F0B56"/>
    <w:pPr>
      <w:numPr>
        <w:ilvl w:val="3"/>
        <w:numId w:val="7"/>
      </w:numPr>
      <w:spacing w:before="360"/>
      <w:jc w:val="left"/>
      <w:outlineLvl w:val="3"/>
    </w:pPr>
    <w:rPr>
      <w:rFonts w:eastAsia="Calibri" w:cs="Arial"/>
      <w:bCs/>
      <w:i/>
      <w:color w:val="D2232A"/>
      <w:szCs w:val="26"/>
    </w:rPr>
  </w:style>
  <w:style w:type="paragraph" w:styleId="Titre5">
    <w:name w:val="heading 5"/>
    <w:basedOn w:val="Normal"/>
    <w:next w:val="Normal"/>
    <w:semiHidden/>
    <w:qFormat/>
    <w:locked/>
    <w:rsid w:val="009E47EB"/>
    <w:pPr>
      <w:numPr>
        <w:ilvl w:val="4"/>
        <w:numId w:val="7"/>
      </w:numPr>
      <w:outlineLvl w:val="4"/>
    </w:pPr>
    <w:rPr>
      <w:b/>
      <w:bCs/>
      <w:i/>
      <w:iCs/>
      <w:sz w:val="26"/>
      <w:szCs w:val="26"/>
    </w:rPr>
  </w:style>
  <w:style w:type="paragraph" w:styleId="Titre6">
    <w:name w:val="heading 6"/>
    <w:basedOn w:val="Normal"/>
    <w:next w:val="Normal"/>
    <w:semiHidden/>
    <w:qFormat/>
    <w:locked/>
    <w:rsid w:val="009E47EB"/>
    <w:pPr>
      <w:numPr>
        <w:ilvl w:val="5"/>
        <w:numId w:val="7"/>
      </w:numPr>
      <w:outlineLvl w:val="5"/>
    </w:pPr>
    <w:rPr>
      <w:b/>
      <w:bCs/>
      <w:sz w:val="22"/>
    </w:rPr>
  </w:style>
  <w:style w:type="paragraph" w:styleId="Titre7">
    <w:name w:val="heading 7"/>
    <w:basedOn w:val="Normal"/>
    <w:next w:val="Normal"/>
    <w:semiHidden/>
    <w:qFormat/>
    <w:locked/>
    <w:rsid w:val="009E47EB"/>
    <w:pPr>
      <w:numPr>
        <w:ilvl w:val="6"/>
        <w:numId w:val="7"/>
      </w:numPr>
      <w:outlineLvl w:val="6"/>
    </w:pPr>
    <w:rPr>
      <w:sz w:val="24"/>
    </w:rPr>
  </w:style>
  <w:style w:type="paragraph" w:styleId="Titre8">
    <w:name w:val="heading 8"/>
    <w:basedOn w:val="Normal"/>
    <w:next w:val="Normal"/>
    <w:semiHidden/>
    <w:qFormat/>
    <w:locked/>
    <w:rsid w:val="009E47EB"/>
    <w:pPr>
      <w:numPr>
        <w:ilvl w:val="7"/>
        <w:numId w:val="7"/>
      </w:numPr>
      <w:outlineLvl w:val="7"/>
    </w:pPr>
    <w:rPr>
      <w:i/>
      <w:iCs/>
      <w:sz w:val="24"/>
    </w:rPr>
  </w:style>
  <w:style w:type="paragraph" w:styleId="Titre9">
    <w:name w:val="heading 9"/>
    <w:basedOn w:val="Normal"/>
    <w:next w:val="Normal"/>
    <w:semiHidden/>
    <w:qFormat/>
    <w:locked/>
    <w:rsid w:val="009E47EB"/>
    <w:pPr>
      <w:numPr>
        <w:ilvl w:val="8"/>
        <w:numId w:val="7"/>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qFormat/>
    <w:rsid w:val="009F0B56"/>
    <w:pPr>
      <w:numPr>
        <w:numId w:val="2"/>
      </w:numPr>
      <w:tabs>
        <w:tab w:val="left" w:pos="340"/>
      </w:tabs>
      <w:spacing w:before="60" w:after="0"/>
    </w:pPr>
  </w:style>
  <w:style w:type="paragraph" w:customStyle="1" w:styleId="ECCHeadingnonumbering">
    <w:name w:val="ECC Heading no numbering"/>
    <w:basedOn w:val="Titre1"/>
    <w:rsid w:val="009F0B56"/>
    <w:pPr>
      <w:numPr>
        <w:numId w:val="0"/>
      </w:numPr>
      <w:tabs>
        <w:tab w:val="left" w:pos="0"/>
        <w:tab w:val="center" w:pos="4820"/>
        <w:tab w:val="right" w:pos="9639"/>
      </w:tabs>
    </w:pPr>
  </w:style>
  <w:style w:type="paragraph" w:styleId="Textedebulles">
    <w:name w:val="Balloon Text"/>
    <w:basedOn w:val="Normal"/>
    <w:link w:val="TextedebullesCar"/>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Normal"/>
    <w:rsid w:val="00C2772B"/>
    <w:pPr>
      <w:keepNext/>
      <w:pageBreakBefore/>
      <w:numPr>
        <w:numId w:val="1"/>
      </w:numPr>
      <w:ind w:left="0"/>
      <w:jc w:val="left"/>
    </w:pPr>
    <w:rPr>
      <w:rFonts w:eastAsia="Calibri"/>
      <w:b/>
      <w:caps/>
      <w:color w:val="D2232A"/>
    </w:rPr>
  </w:style>
  <w:style w:type="paragraph" w:styleId="TM1">
    <w:name w:val="toc 1"/>
    <w:aliases w:val="ECC Index 1"/>
    <w:basedOn w:val="Normal"/>
    <w:link w:val="TM1Car"/>
    <w:uiPriority w:val="39"/>
    <w:semiHidden/>
    <w:qFormat/>
    <w:locked/>
    <w:rsid w:val="009F0B56"/>
    <w:pPr>
      <w:tabs>
        <w:tab w:val="left" w:pos="425"/>
        <w:tab w:val="right" w:leader="dot" w:pos="9639"/>
      </w:tabs>
      <w:spacing w:after="0"/>
      <w:ind w:left="425" w:hanging="425"/>
    </w:pPr>
    <w:rPr>
      <w:b/>
      <w:noProof/>
      <w:szCs w:val="20"/>
      <w:lang w:val="da-DK"/>
    </w:rPr>
  </w:style>
  <w:style w:type="paragraph" w:styleId="Notedebasdepage">
    <w:name w:val="footnote text"/>
    <w:aliases w:val="ECC Footnote,footnote text,ALTS FOOTNOTE,Footnote Text Char1,Footnote Text Char Char1,Footnote Text Char4 Char Char,Footnote Text Char1 Char1 Char1 Char,Footnote Text Char Char1 Char1 Char Char"/>
    <w:basedOn w:val="Normal"/>
    <w:link w:val="NotedebasdepageCar"/>
    <w:rsid w:val="009F0B56"/>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9F0B56"/>
    <w:rPr>
      <w:bdr w:val="none" w:sz="0" w:space="0" w:color="auto"/>
      <w:shd w:val="solid" w:color="92D050" w:fill="auto"/>
      <w:lang w:val="en-GB"/>
    </w:rPr>
  </w:style>
  <w:style w:type="character" w:customStyle="1" w:styleId="NotedebasdepageCar">
    <w:name w:val="Note de bas de page Car"/>
    <w:aliases w:val="ECC Footnote Car,footnote text Car,ALTS FOOTNOTE Car,Footnote Text Char1 Car,Footnote Text Char Char1 Car,Footnote Text Char4 Char Char Car,Footnote Text Char1 Char1 Char1 Char Car,Footnote Text Char Char1 Char1 Char Char Car"/>
    <w:basedOn w:val="Policepardfaut"/>
    <w:link w:val="Notedebasdepage"/>
    <w:rsid w:val="009F0B56"/>
    <w:rPr>
      <w:rFonts w:eastAsia="Calibri"/>
      <w:sz w:val="16"/>
      <w:szCs w:val="16"/>
      <w14:cntxtAlts/>
    </w:rPr>
  </w:style>
  <w:style w:type="character" w:styleId="Appelnotedebasdep">
    <w:name w:val="footnote reference"/>
    <w:aliases w:val="ECC Footnote number,Appel note de bas de p,Footnote Reference/,Footnote symbol,Style 12,(NECG) Footnote Reference,Style 124,Appel note de bas de p + 11 pt,Italic,Appel note de bas de p1,Appel note de bas de p2"/>
    <w:basedOn w:val="Policepardfau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rsid w:val="009F0B56"/>
    <w:pPr>
      <w:ind w:left="680" w:hanging="340"/>
    </w:pPr>
  </w:style>
  <w:style w:type="paragraph" w:customStyle="1" w:styleId="ECCAnnexheading2">
    <w:name w:val="ECC Annex heading2"/>
    <w:next w:val="Normal"/>
    <w:rsid w:val="009F0B56"/>
    <w:pPr>
      <w:numPr>
        <w:ilvl w:val="1"/>
        <w:numId w:val="1"/>
      </w:numPr>
      <w:overflowPunct w:val="0"/>
      <w:autoSpaceDE w:val="0"/>
      <w:autoSpaceDN w:val="0"/>
      <w:adjustRightInd w:val="0"/>
      <w:spacing w:before="480" w:after="240"/>
      <w:jc w:val="left"/>
      <w:textAlignment w:val="baseline"/>
    </w:pPr>
    <w:rPr>
      <w:rFonts w:eastAsia="Calibri"/>
      <w:b/>
      <w:caps/>
    </w:rPr>
  </w:style>
  <w:style w:type="paragraph" w:customStyle="1" w:styleId="ECCAnnexheading3">
    <w:name w:val="ECC Annex heading3"/>
    <w:next w:val="Normal"/>
    <w:rsid w:val="009F0B56"/>
    <w:pPr>
      <w:numPr>
        <w:ilvl w:val="2"/>
        <w:numId w:val="1"/>
      </w:numPr>
      <w:overflowPunct w:val="0"/>
      <w:autoSpaceDE w:val="0"/>
      <w:autoSpaceDN w:val="0"/>
      <w:adjustRightInd w:val="0"/>
      <w:spacing w:before="360"/>
      <w:jc w:val="left"/>
      <w:textAlignment w:val="baseline"/>
    </w:pPr>
    <w:rPr>
      <w:rFonts w:eastAsia="Calibri"/>
      <w:b/>
    </w:rPr>
  </w:style>
  <w:style w:type="paragraph" w:customStyle="1" w:styleId="ECCAnnexheading4">
    <w:name w:val="ECC Annex heading4"/>
    <w:next w:val="Normal"/>
    <w:rsid w:val="009F0B56"/>
    <w:pPr>
      <w:numPr>
        <w:ilvl w:val="3"/>
        <w:numId w:val="1"/>
      </w:numPr>
      <w:overflowPunct w:val="0"/>
      <w:autoSpaceDE w:val="0"/>
      <w:autoSpaceDN w:val="0"/>
      <w:adjustRightInd w:val="0"/>
      <w:spacing w:before="360"/>
      <w:jc w:val="left"/>
      <w:textAlignment w:val="baseline"/>
    </w:pPr>
    <w:rPr>
      <w:rFonts w:eastAsia="Calibri"/>
      <w:i/>
      <w:color w:val="D2232A"/>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4"/>
      </w:numPr>
      <w:spacing w:after="0"/>
      <w:jc w:val="left"/>
    </w:pPr>
    <w:rPr>
      <w:rFonts w:eastAsia="Calibri"/>
    </w:rPr>
  </w:style>
  <w:style w:type="paragraph" w:customStyle="1" w:styleId="ECCNumberedList">
    <w:name w:val="ECC Numbered List"/>
    <w:basedOn w:val="Normal"/>
    <w:rsid w:val="009F0B56"/>
    <w:pPr>
      <w:numPr>
        <w:numId w:val="5"/>
      </w:numPr>
      <w:spacing w:after="0"/>
    </w:pPr>
    <w:rPr>
      <w:szCs w:val="20"/>
    </w:rPr>
  </w:style>
  <w:style w:type="paragraph" w:customStyle="1" w:styleId="ECCReference">
    <w:name w:val="ECC Reference"/>
    <w:basedOn w:val="Normal"/>
    <w:rsid w:val="009F0B56"/>
    <w:pPr>
      <w:numPr>
        <w:numId w:val="6"/>
      </w:numPr>
      <w:spacing w:before="0" w:after="0"/>
    </w:pPr>
    <w:rPr>
      <w:lang w:eastAsia="ja-JP"/>
    </w:rPr>
  </w:style>
  <w:style w:type="character" w:customStyle="1" w:styleId="TextedebullesCar">
    <w:name w:val="Texte de bulles Car"/>
    <w:basedOn w:val="Policepardfaut"/>
    <w:link w:val="Textedebulles"/>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Normal"/>
    <w:qFormat/>
    <w:rsid w:val="009F0B56"/>
    <w:pPr>
      <w:numPr>
        <w:numId w:val="3"/>
      </w:numPr>
      <w:shd w:val="solid" w:color="FFFF00" w:fill="auto"/>
      <w:tabs>
        <w:tab w:val="num" w:pos="1559"/>
      </w:tabs>
      <w:spacing w:before="120"/>
      <w:ind w:left="1559"/>
    </w:pPr>
    <w:rPr>
      <w:rFonts w:eastAsia="Calibri"/>
      <w:szCs w:val="22"/>
      <w:lang w:eastAsia="de-DE"/>
    </w:rPr>
  </w:style>
  <w:style w:type="paragraph" w:customStyle="1" w:styleId="ECCFigure">
    <w:name w:val="ECC Figure"/>
    <w:next w:val="Normal"/>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Normal"/>
    <w:link w:val="ECCLetterHeadZchn"/>
    <w:qFormat/>
    <w:rsid w:val="009F0B56"/>
    <w:pPr>
      <w:tabs>
        <w:tab w:val="right" w:pos="4750"/>
      </w:tabs>
      <w:spacing w:before="60"/>
    </w:pPr>
    <w:rPr>
      <w:b/>
      <w:sz w:val="22"/>
      <w:szCs w:val="20"/>
    </w:rPr>
  </w:style>
  <w:style w:type="character" w:customStyle="1" w:styleId="ECCHLyellow">
    <w:name w:val="ECC HL yellow"/>
    <w:basedOn w:val="Policepardfau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Policepardfaut"/>
    <w:uiPriority w:val="1"/>
    <w:qFormat/>
    <w:rsid w:val="009F0B56"/>
    <w:rPr>
      <w:b/>
      <w:bCs/>
    </w:rPr>
  </w:style>
  <w:style w:type="paragraph" w:customStyle="1" w:styleId="ECCTabletext">
    <w:name w:val="ECC Table text"/>
    <w:basedOn w:val="Normal"/>
    <w:qFormat/>
    <w:rsid w:val="009F0B56"/>
    <w:pPr>
      <w:spacing w:before="0"/>
    </w:pPr>
  </w:style>
  <w:style w:type="paragraph" w:styleId="Signature">
    <w:name w:val="Signature"/>
    <w:basedOn w:val="Normal"/>
    <w:link w:val="SignatureCar"/>
    <w:uiPriority w:val="99"/>
    <w:semiHidden/>
    <w:unhideWhenUsed/>
    <w:locked/>
    <w:rsid w:val="007D52EC"/>
    <w:pPr>
      <w:spacing w:before="0" w:after="0"/>
      <w:ind w:left="4252"/>
    </w:pPr>
  </w:style>
  <w:style w:type="character" w:customStyle="1" w:styleId="SignatureCar">
    <w:name w:val="Signature Car"/>
    <w:basedOn w:val="Policepardfaut"/>
    <w:link w:val="Signature"/>
    <w:uiPriority w:val="99"/>
    <w:semiHidden/>
    <w:rsid w:val="007D52EC"/>
  </w:style>
  <w:style w:type="character" w:styleId="Accentuation">
    <w:name w:val="Emphasis"/>
    <w:aliases w:val="ECC HL italics"/>
    <w:uiPriority w:val="1"/>
    <w:qFormat/>
    <w:rsid w:val="009F0B56"/>
    <w:rPr>
      <w:i/>
    </w:rPr>
  </w:style>
  <w:style w:type="character" w:customStyle="1" w:styleId="ECCHLunderlined">
    <w:name w:val="ECC HL underlined"/>
    <w:uiPriority w:val="1"/>
    <w:qFormat/>
    <w:rsid w:val="009F0B56"/>
    <w:rPr>
      <w:u w:val="single"/>
    </w:rPr>
  </w:style>
  <w:style w:type="character" w:customStyle="1" w:styleId="TM1Car">
    <w:name w:val="TM 1 Car"/>
    <w:aliases w:val="ECC Index 1 Car"/>
    <w:basedOn w:val="Policepardfaut"/>
    <w:link w:val="TM1"/>
    <w:uiPriority w:val="39"/>
    <w:semiHidden/>
    <w:rsid w:val="000E4820"/>
    <w:rPr>
      <w:rFonts w:eastAsia="Calibri"/>
      <w:b/>
      <w:noProof/>
    </w:rPr>
  </w:style>
  <w:style w:type="character" w:customStyle="1" w:styleId="ECCHLcyan">
    <w:name w:val="ECC HL cyan"/>
    <w:basedOn w:val="Policepardfaut"/>
    <w:uiPriority w:val="1"/>
    <w:qFormat/>
    <w:rsid w:val="009F0B56"/>
    <w:rPr>
      <w:iCs w:val="0"/>
      <w:bdr w:val="none" w:sz="0" w:space="0" w:color="auto"/>
      <w:shd w:val="solid" w:color="00FFFF" w:fill="auto"/>
      <w:lang w:val="en-GB"/>
    </w:rPr>
  </w:style>
  <w:style w:type="character" w:customStyle="1" w:styleId="ECCHLorange">
    <w:name w:val="ECC HL orange"/>
    <w:basedOn w:val="Policepardfaut"/>
    <w:uiPriority w:val="1"/>
    <w:qFormat/>
    <w:rsid w:val="009F0B56"/>
    <w:rPr>
      <w:bdr w:val="none" w:sz="0" w:space="0" w:color="auto"/>
      <w:shd w:val="solid" w:color="FFC000" w:fill="auto"/>
    </w:rPr>
  </w:style>
  <w:style w:type="character" w:customStyle="1" w:styleId="ECCHLblue">
    <w:name w:val="ECC HL blue"/>
    <w:basedOn w:val="Policepardfau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9F0B56"/>
    <w:rPr>
      <w:iCs w:val="0"/>
      <w:color w:val="FFFFFF" w:themeColor="background1"/>
      <w:bdr w:val="none" w:sz="0" w:space="0" w:color="auto"/>
      <w:shd w:val="solid" w:color="008080" w:fill="auto"/>
    </w:rPr>
  </w:style>
  <w:style w:type="character" w:customStyle="1" w:styleId="ECCParagraph">
    <w:name w:val="ECC Paragraph"/>
    <w:basedOn w:val="Policepardfau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Policepardfaut"/>
    <w:link w:val="ECCLetterHead"/>
    <w:rsid w:val="009F0B56"/>
    <w:rPr>
      <w:rFonts w:eastAsia="Calibri"/>
      <w:b/>
      <w:sz w:val="22"/>
      <w:lang w:val="en-GB"/>
    </w:rPr>
  </w:style>
  <w:style w:type="character" w:customStyle="1" w:styleId="ECCHLmagenta">
    <w:name w:val="ECC HL magenta"/>
    <w:basedOn w:val="Policepardfaut"/>
    <w:uiPriority w:val="1"/>
    <w:qFormat/>
    <w:rsid w:val="009F0B56"/>
    <w:rPr>
      <w:color w:val="auto"/>
      <w:bdr w:val="none" w:sz="0" w:space="0" w:color="auto"/>
      <w:shd w:val="solid" w:color="FF3399" w:fill="auto"/>
      <w:lang w:val="en-GB"/>
    </w:rPr>
  </w:style>
  <w:style w:type="character" w:customStyle="1" w:styleId="ECCHLbrown">
    <w:name w:val="ECC HL brown"/>
    <w:basedOn w:val="Policepardfaut"/>
    <w:uiPriority w:val="1"/>
    <w:qFormat/>
    <w:rsid w:val="009F0B56"/>
    <w:rPr>
      <w:color w:val="D9D9D9" w:themeColor="background1" w:themeShade="D9"/>
      <w:bdr w:val="none" w:sz="0" w:space="0" w:color="auto"/>
      <w:shd w:val="solid" w:color="B95807" w:fill="auto"/>
    </w:rPr>
  </w:style>
  <w:style w:type="paragraph" w:customStyle="1" w:styleId="ECCBreak">
    <w:name w:val="ECC Break"/>
    <w:next w:val="Normal"/>
    <w:link w:val="ECCBreakZchn"/>
    <w:rsid w:val="009F0B56"/>
    <w:pPr>
      <w:spacing w:before="360"/>
      <w:jc w:val="left"/>
    </w:pPr>
    <w:rPr>
      <w:b/>
      <w:bCs/>
      <w:iCs/>
      <w:szCs w:val="28"/>
    </w:rPr>
  </w:style>
  <w:style w:type="character" w:customStyle="1" w:styleId="ECCBreakZchn">
    <w:name w:val="ECC Break Zchn"/>
    <w:basedOn w:val="Policepardfaut"/>
    <w:link w:val="ECCBreak"/>
    <w:rsid w:val="009F0B56"/>
    <w:rPr>
      <w:b/>
      <w:bCs/>
      <w:iCs/>
      <w:szCs w:val="28"/>
    </w:rPr>
  </w:style>
  <w:style w:type="character" w:styleId="Lienhypertexte">
    <w:name w:val="Hyperlink"/>
    <w:aliases w:val="ECC Hyperlink"/>
    <w:basedOn w:val="Policepardfaut"/>
    <w:rsid w:val="009F0B56"/>
    <w:rPr>
      <w:color w:val="0000FF" w:themeColor="hyperlink"/>
      <w:u w:val="single"/>
    </w:rPr>
  </w:style>
  <w:style w:type="paragraph" w:styleId="Lgende">
    <w:name w:val="caption"/>
    <w:aliases w:val="ECC Caption"/>
    <w:next w:val="Normal"/>
    <w:qFormat/>
    <w:rsid w:val="009F0B56"/>
    <w:pPr>
      <w:keepLines/>
      <w:tabs>
        <w:tab w:val="left" w:pos="0"/>
        <w:tab w:val="center" w:pos="4820"/>
        <w:tab w:val="right" w:pos="9639"/>
      </w:tabs>
      <w:spacing w:after="240"/>
      <w:contextualSpacing/>
      <w:jc w:val="center"/>
    </w:pPr>
    <w:rPr>
      <w:rFonts w:eastAsia="Calibri"/>
      <w:b/>
      <w:bCs/>
      <w:color w:val="D2232A"/>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9F0B56"/>
    <w:pPr>
      <w:tabs>
        <w:tab w:val="left" w:pos="0"/>
        <w:tab w:val="center" w:pos="4820"/>
        <w:tab w:val="right" w:pos="9639"/>
      </w:tabs>
      <w:spacing w:before="0" w:after="0"/>
    </w:pPr>
    <w:rPr>
      <w:rFonts w:eastAsia="Calibri"/>
      <w:b/>
      <w:sz w:val="16"/>
      <w:szCs w:val="22"/>
      <w:lang w:val="de-DE" w:eastAsia="de-DE"/>
    </w:rPr>
  </w:style>
  <w:style w:type="paragraph" w:customStyle="1" w:styleId="ECCpageHeader">
    <w:name w:val="ECC page Header"/>
    <w:rsid w:val="009F0B56"/>
    <w:pPr>
      <w:tabs>
        <w:tab w:val="left" w:pos="0"/>
        <w:tab w:val="center" w:pos="4820"/>
        <w:tab w:val="right" w:pos="9639"/>
      </w:tabs>
      <w:spacing w:before="0" w:after="0"/>
      <w:jc w:val="left"/>
    </w:pPr>
    <w:rPr>
      <w:b/>
      <w:sz w:val="16"/>
    </w:rPr>
  </w:style>
  <w:style w:type="character" w:styleId="Textedelespacerserv">
    <w:name w:val="Placeholder Text"/>
    <w:basedOn w:val="Policepardfaut"/>
    <w:uiPriority w:val="99"/>
    <w:semiHidden/>
    <w:locked/>
    <w:rsid w:val="00FE538A"/>
    <w:rPr>
      <w:color w:val="808080"/>
    </w:rPr>
  </w:style>
  <w:style w:type="character" w:customStyle="1" w:styleId="ECCHLgrey">
    <w:name w:val="ECC HL grey"/>
    <w:uiPriority w:val="1"/>
    <w:qFormat/>
    <w:rsid w:val="009F0B56"/>
    <w:rPr>
      <w:bdr w:val="none" w:sz="0" w:space="0" w:color="auto"/>
      <w:shd w:val="solid" w:color="BFBFBF" w:themeColor="background1" w:themeShade="BF" w:fill="auto"/>
    </w:rPr>
  </w:style>
  <w:style w:type="character" w:customStyle="1" w:styleId="ECCHLsubscript">
    <w:name w:val="ECC HL subscript"/>
    <w:uiPriority w:val="1"/>
    <w:rsid w:val="009F0B56"/>
    <w:rPr>
      <w:vertAlign w:val="subscript"/>
    </w:rPr>
  </w:style>
  <w:style w:type="character" w:customStyle="1" w:styleId="ECCHLsuperscript">
    <w:name w:val="ECC HL superscript"/>
    <w:uiPriority w:val="1"/>
    <w:rsid w:val="009F0B56"/>
    <w:rPr>
      <w:vertAlign w:val="superscript"/>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Grilledutableau">
    <w:name w:val="Table Grid"/>
    <w:basedOn w:val="TableauNormal"/>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Policepardfau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Normal"/>
    <w:rsid w:val="009F0B56"/>
    <w:pPr>
      <w:spacing w:after="240"/>
      <w:jc w:val="center"/>
    </w:pPr>
    <w:rPr>
      <w:rFonts w:eastAsia="Calibri"/>
      <w:noProof/>
      <w:lang w:val="de-DE" w:eastAsia="de-DE"/>
      <w14:cntxtAlts/>
    </w:rPr>
  </w:style>
  <w:style w:type="character" w:styleId="Marquedecommentaire">
    <w:name w:val="annotation reference"/>
    <w:basedOn w:val="Policepardfaut"/>
    <w:uiPriority w:val="99"/>
    <w:semiHidden/>
    <w:unhideWhenUsed/>
    <w:locked/>
    <w:rsid w:val="003630AE"/>
    <w:rPr>
      <w:sz w:val="16"/>
      <w:szCs w:val="16"/>
    </w:rPr>
  </w:style>
  <w:style w:type="paragraph" w:styleId="Commentaire">
    <w:name w:val="annotation text"/>
    <w:basedOn w:val="Normal"/>
    <w:link w:val="CommentaireCar"/>
    <w:uiPriority w:val="99"/>
    <w:semiHidden/>
    <w:unhideWhenUsed/>
    <w:locked/>
    <w:rsid w:val="003630AE"/>
    <w:rPr>
      <w:szCs w:val="20"/>
    </w:rPr>
  </w:style>
  <w:style w:type="character" w:customStyle="1" w:styleId="CommentaireCar">
    <w:name w:val="Commentaire Car"/>
    <w:basedOn w:val="Policepardfaut"/>
    <w:link w:val="Commentaire"/>
    <w:uiPriority w:val="99"/>
    <w:semiHidden/>
    <w:rsid w:val="003630AE"/>
    <w:rPr>
      <w:rFonts w:eastAsia="Calibri"/>
      <w:lang w:val="en-GB"/>
    </w:rPr>
  </w:style>
  <w:style w:type="paragraph" w:styleId="Objetducommentaire">
    <w:name w:val="annotation subject"/>
    <w:basedOn w:val="Commentaire"/>
    <w:next w:val="Commentaire"/>
    <w:link w:val="ObjetducommentaireCar"/>
    <w:uiPriority w:val="99"/>
    <w:semiHidden/>
    <w:unhideWhenUsed/>
    <w:locked/>
    <w:rsid w:val="003630AE"/>
    <w:rPr>
      <w:b/>
      <w:bCs/>
    </w:rPr>
  </w:style>
  <w:style w:type="character" w:customStyle="1" w:styleId="ObjetducommentaireCar">
    <w:name w:val="Objet du commentaire Car"/>
    <w:basedOn w:val="CommentaireCar"/>
    <w:link w:val="Objetducommentaire"/>
    <w:uiPriority w:val="99"/>
    <w:semiHidden/>
    <w:rsid w:val="003630AE"/>
    <w:rPr>
      <w:rFonts w:eastAsia="Calibri"/>
      <w:b/>
      <w:bCs/>
      <w:lang w:val="en-GB"/>
    </w:rPr>
  </w:style>
  <w:style w:type="paragraph" w:styleId="En-ttedetabledesmatires">
    <w:name w:val="TOC Heading"/>
    <w:basedOn w:val="Titre1"/>
    <w:next w:val="Normal"/>
    <w:uiPriority w:val="39"/>
    <w:semiHidden/>
    <w:unhideWhenUsed/>
    <w:qFormat/>
    <w:locked/>
    <w:rsid w:val="0088699E"/>
    <w:pPr>
      <w:keepLines/>
      <w:numPr>
        <w:numId w:val="0"/>
      </w:numPr>
      <w:spacing w:before="240" w:after="0"/>
      <w:jc w:val="both"/>
      <w:outlineLvl w:val="9"/>
    </w:pPr>
    <w:rPr>
      <w:rFonts w:asciiTheme="majorHAnsi" w:eastAsiaTheme="majorEastAsia" w:hAnsiTheme="majorHAnsi" w:cstheme="majorBidi"/>
      <w:b w:val="0"/>
      <w:bCs w:val="0"/>
      <w:caps w:val="0"/>
      <w:color w:val="365F91" w:themeColor="accent1" w:themeShade="BF"/>
      <w:kern w:val="0"/>
      <w:sz w:val="32"/>
      <w:lang w:val="en-GB"/>
    </w:rPr>
  </w:style>
  <w:style w:type="paragraph" w:styleId="Pieddepage">
    <w:name w:val="footer"/>
    <w:basedOn w:val="Normal"/>
    <w:link w:val="PieddepageCar"/>
    <w:uiPriority w:val="99"/>
    <w:semiHidden/>
    <w:unhideWhenUsed/>
    <w:locked/>
    <w:rsid w:val="00D948A1"/>
    <w:pPr>
      <w:tabs>
        <w:tab w:val="center" w:pos="4513"/>
        <w:tab w:val="right" w:pos="9026"/>
      </w:tabs>
      <w:spacing w:before="0" w:after="0"/>
    </w:pPr>
  </w:style>
  <w:style w:type="character" w:customStyle="1" w:styleId="PieddepageCar">
    <w:name w:val="Pied de page Car"/>
    <w:basedOn w:val="Policepardfaut"/>
    <w:link w:val="Pieddepage"/>
    <w:uiPriority w:val="99"/>
    <w:semiHidden/>
    <w:rsid w:val="00D948A1"/>
    <w:rPr>
      <w:rFonts w:eastAsia="Calibri"/>
      <w:szCs w:val="22"/>
      <w:lang w:val="en-GB"/>
    </w:rPr>
  </w:style>
  <w:style w:type="character" w:styleId="Lienhypertextesuivivisit">
    <w:name w:val="FollowedHyperlink"/>
    <w:basedOn w:val="Policepardfaut"/>
    <w:uiPriority w:val="99"/>
    <w:semiHidden/>
    <w:unhideWhenUsed/>
    <w:locked/>
    <w:rsid w:val="00AF6D19"/>
    <w:rPr>
      <w:color w:val="800080" w:themeColor="followedHyperlink"/>
      <w:u w:val="single"/>
    </w:rPr>
  </w:style>
  <w:style w:type="character" w:customStyle="1" w:styleId="UnresolvedMention1">
    <w:name w:val="Unresolved Mention1"/>
    <w:basedOn w:val="Policepardfaut"/>
    <w:uiPriority w:val="99"/>
    <w:semiHidden/>
    <w:unhideWhenUsed/>
    <w:rsid w:val="00335783"/>
    <w:rPr>
      <w:color w:val="605E5C"/>
      <w:shd w:val="clear" w:color="auto" w:fill="E1DFDD"/>
    </w:rPr>
  </w:style>
  <w:style w:type="paragraph" w:styleId="NormalWeb">
    <w:name w:val="Normal (Web)"/>
    <w:basedOn w:val="Normal"/>
    <w:uiPriority w:val="99"/>
    <w:semiHidden/>
    <w:unhideWhenUsed/>
    <w:locked/>
    <w:rsid w:val="00C542DD"/>
    <w:rPr>
      <w:rFonts w:ascii="Times New Roman" w:hAnsi="Times New Roman"/>
      <w:sz w:val="24"/>
      <w:szCs w:val="24"/>
    </w:rPr>
  </w:style>
  <w:style w:type="character" w:customStyle="1" w:styleId="UnresolvedMention2">
    <w:name w:val="Unresolved Mention2"/>
    <w:basedOn w:val="Policepardfaut"/>
    <w:uiPriority w:val="99"/>
    <w:semiHidden/>
    <w:unhideWhenUsed/>
    <w:rsid w:val="0081353E"/>
    <w:rPr>
      <w:color w:val="605E5C"/>
      <w:shd w:val="clear" w:color="auto" w:fill="E1DFDD"/>
    </w:rPr>
  </w:style>
  <w:style w:type="paragraph" w:styleId="Paragraphedeliste">
    <w:name w:val="List Paragraph"/>
    <w:basedOn w:val="Normal"/>
    <w:uiPriority w:val="34"/>
    <w:qFormat/>
    <w:locked/>
    <w:rsid w:val="00E82FF8"/>
    <w:pPr>
      <w:ind w:left="720"/>
      <w:contextualSpacing/>
    </w:pPr>
  </w:style>
  <w:style w:type="character" w:customStyle="1" w:styleId="UnresolvedMention3">
    <w:name w:val="Unresolved Mention3"/>
    <w:basedOn w:val="Policepardfaut"/>
    <w:uiPriority w:val="99"/>
    <w:semiHidden/>
    <w:unhideWhenUsed/>
    <w:rsid w:val="00B307E8"/>
    <w:rPr>
      <w:color w:val="605E5C"/>
      <w:shd w:val="clear" w:color="auto" w:fill="E1DFDD"/>
    </w:rPr>
  </w:style>
  <w:style w:type="character" w:customStyle="1" w:styleId="UnresolvedMention4">
    <w:name w:val="Unresolved Mention4"/>
    <w:basedOn w:val="Policepardfaut"/>
    <w:uiPriority w:val="99"/>
    <w:semiHidden/>
    <w:unhideWhenUsed/>
    <w:rsid w:val="00A30FCF"/>
    <w:rPr>
      <w:color w:val="605E5C"/>
      <w:shd w:val="clear" w:color="auto" w:fill="E1DFDD"/>
    </w:rPr>
  </w:style>
  <w:style w:type="character" w:customStyle="1" w:styleId="UnresolvedMention5">
    <w:name w:val="Unresolved Mention5"/>
    <w:basedOn w:val="Policepardfaut"/>
    <w:uiPriority w:val="99"/>
    <w:semiHidden/>
    <w:unhideWhenUsed/>
    <w:rsid w:val="00B27686"/>
    <w:rPr>
      <w:color w:val="605E5C"/>
      <w:shd w:val="clear" w:color="auto" w:fill="E1DFDD"/>
    </w:rPr>
  </w:style>
  <w:style w:type="character" w:customStyle="1" w:styleId="UnresolvedMention6">
    <w:name w:val="Unresolved Mention6"/>
    <w:basedOn w:val="Policepardfaut"/>
    <w:uiPriority w:val="99"/>
    <w:semiHidden/>
    <w:unhideWhenUsed/>
    <w:rsid w:val="000214A3"/>
    <w:rPr>
      <w:color w:val="605E5C"/>
      <w:shd w:val="clear" w:color="auto" w:fill="E1DFDD"/>
    </w:rPr>
  </w:style>
  <w:style w:type="paragraph" w:styleId="En-tte">
    <w:name w:val="header"/>
    <w:basedOn w:val="Normal"/>
    <w:link w:val="En-tteCar"/>
    <w:uiPriority w:val="99"/>
    <w:semiHidden/>
    <w:unhideWhenUsed/>
    <w:locked/>
    <w:rsid w:val="001058A8"/>
    <w:pPr>
      <w:tabs>
        <w:tab w:val="center" w:pos="4536"/>
        <w:tab w:val="right" w:pos="9072"/>
      </w:tabs>
      <w:spacing w:before="0" w:after="0"/>
    </w:pPr>
  </w:style>
  <w:style w:type="character" w:customStyle="1" w:styleId="En-tteCar">
    <w:name w:val="En-tête Car"/>
    <w:basedOn w:val="Policepardfaut"/>
    <w:link w:val="En-tte"/>
    <w:uiPriority w:val="99"/>
    <w:semiHidden/>
    <w:rsid w:val="001058A8"/>
    <w:rPr>
      <w:rFonts w:eastAsia="Calibri"/>
      <w:szCs w:val="22"/>
      <w:lang w:val="en-GB"/>
    </w:rPr>
  </w:style>
  <w:style w:type="character" w:customStyle="1" w:styleId="UnresolvedMention7">
    <w:name w:val="Unresolved Mention7"/>
    <w:basedOn w:val="Policepardfaut"/>
    <w:uiPriority w:val="99"/>
    <w:semiHidden/>
    <w:unhideWhenUsed/>
    <w:rsid w:val="00E34D1B"/>
    <w:rPr>
      <w:color w:val="605E5C"/>
      <w:shd w:val="clear" w:color="auto" w:fill="E1DFDD"/>
    </w:rPr>
  </w:style>
  <w:style w:type="paragraph" w:styleId="Rvision">
    <w:name w:val="Revision"/>
    <w:hidden/>
    <w:uiPriority w:val="99"/>
    <w:semiHidden/>
    <w:rsid w:val="00B15CF3"/>
    <w:pPr>
      <w:spacing w:before="0" w:after="0"/>
      <w:jc w:val="left"/>
    </w:pPr>
    <w:rPr>
      <w:rFonts w:eastAsia="Calibri"/>
      <w:szCs w:val="22"/>
      <w:lang w:val="en-GB"/>
    </w:rPr>
  </w:style>
  <w:style w:type="character" w:customStyle="1" w:styleId="Mentionnonrsolue1">
    <w:name w:val="Mention non résolue1"/>
    <w:basedOn w:val="Policepardfaut"/>
    <w:uiPriority w:val="99"/>
    <w:semiHidden/>
    <w:unhideWhenUsed/>
    <w:rsid w:val="00451F2C"/>
    <w:rPr>
      <w:color w:val="605E5C"/>
      <w:shd w:val="clear" w:color="auto" w:fill="E1DFDD"/>
    </w:rPr>
  </w:style>
  <w:style w:type="character" w:customStyle="1" w:styleId="UnresolvedMention8">
    <w:name w:val="Unresolved Mention8"/>
    <w:basedOn w:val="Policepardfaut"/>
    <w:uiPriority w:val="99"/>
    <w:semiHidden/>
    <w:unhideWhenUsed/>
    <w:rsid w:val="008155D2"/>
    <w:rPr>
      <w:color w:val="605E5C"/>
      <w:shd w:val="clear" w:color="auto" w:fill="E1DFDD"/>
    </w:rPr>
  </w:style>
  <w:style w:type="character" w:customStyle="1" w:styleId="UnresolvedMention9">
    <w:name w:val="Unresolved Mention9"/>
    <w:basedOn w:val="Policepardfaut"/>
    <w:uiPriority w:val="99"/>
    <w:semiHidden/>
    <w:unhideWhenUsed/>
    <w:rsid w:val="004F76F7"/>
    <w:rPr>
      <w:color w:val="605E5C"/>
      <w:shd w:val="clear" w:color="auto" w:fill="E1DFDD"/>
    </w:rPr>
  </w:style>
  <w:style w:type="character" w:customStyle="1" w:styleId="UnresolvedMention10">
    <w:name w:val="Unresolved Mention10"/>
    <w:basedOn w:val="Policepardfaut"/>
    <w:uiPriority w:val="99"/>
    <w:semiHidden/>
    <w:unhideWhenUsed/>
    <w:rsid w:val="002E1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934">
      <w:bodyDiv w:val="1"/>
      <w:marLeft w:val="0"/>
      <w:marRight w:val="0"/>
      <w:marTop w:val="0"/>
      <w:marBottom w:val="0"/>
      <w:divBdr>
        <w:top w:val="none" w:sz="0" w:space="0" w:color="auto"/>
        <w:left w:val="none" w:sz="0" w:space="0" w:color="auto"/>
        <w:bottom w:val="none" w:sz="0" w:space="0" w:color="auto"/>
        <w:right w:val="none" w:sz="0" w:space="0" w:color="auto"/>
      </w:divBdr>
      <w:divsChild>
        <w:div w:id="602886997">
          <w:marLeft w:val="446"/>
          <w:marRight w:val="0"/>
          <w:marTop w:val="0"/>
          <w:marBottom w:val="0"/>
          <w:divBdr>
            <w:top w:val="none" w:sz="0" w:space="0" w:color="auto"/>
            <w:left w:val="none" w:sz="0" w:space="0" w:color="auto"/>
            <w:bottom w:val="none" w:sz="0" w:space="0" w:color="auto"/>
            <w:right w:val="none" w:sz="0" w:space="0" w:color="auto"/>
          </w:divBdr>
        </w:div>
        <w:div w:id="647051975">
          <w:marLeft w:val="446"/>
          <w:marRight w:val="0"/>
          <w:marTop w:val="0"/>
          <w:marBottom w:val="0"/>
          <w:divBdr>
            <w:top w:val="none" w:sz="0" w:space="0" w:color="auto"/>
            <w:left w:val="none" w:sz="0" w:space="0" w:color="auto"/>
            <w:bottom w:val="none" w:sz="0" w:space="0" w:color="auto"/>
            <w:right w:val="none" w:sz="0" w:space="0" w:color="auto"/>
          </w:divBdr>
        </w:div>
      </w:divsChild>
    </w:div>
    <w:div w:id="130489410">
      <w:bodyDiv w:val="1"/>
      <w:marLeft w:val="0"/>
      <w:marRight w:val="0"/>
      <w:marTop w:val="0"/>
      <w:marBottom w:val="0"/>
      <w:divBdr>
        <w:top w:val="none" w:sz="0" w:space="0" w:color="auto"/>
        <w:left w:val="none" w:sz="0" w:space="0" w:color="auto"/>
        <w:bottom w:val="none" w:sz="0" w:space="0" w:color="auto"/>
        <w:right w:val="none" w:sz="0" w:space="0" w:color="auto"/>
      </w:divBdr>
    </w:div>
    <w:div w:id="135996402">
      <w:bodyDiv w:val="1"/>
      <w:marLeft w:val="0"/>
      <w:marRight w:val="0"/>
      <w:marTop w:val="0"/>
      <w:marBottom w:val="0"/>
      <w:divBdr>
        <w:top w:val="none" w:sz="0" w:space="0" w:color="auto"/>
        <w:left w:val="none" w:sz="0" w:space="0" w:color="auto"/>
        <w:bottom w:val="none" w:sz="0" w:space="0" w:color="auto"/>
        <w:right w:val="none" w:sz="0" w:space="0" w:color="auto"/>
      </w:divBdr>
    </w:div>
    <w:div w:id="404884508">
      <w:bodyDiv w:val="1"/>
      <w:marLeft w:val="0"/>
      <w:marRight w:val="0"/>
      <w:marTop w:val="0"/>
      <w:marBottom w:val="0"/>
      <w:divBdr>
        <w:top w:val="none" w:sz="0" w:space="0" w:color="auto"/>
        <w:left w:val="none" w:sz="0" w:space="0" w:color="auto"/>
        <w:bottom w:val="none" w:sz="0" w:space="0" w:color="auto"/>
        <w:right w:val="none" w:sz="0" w:space="0" w:color="auto"/>
      </w:divBdr>
    </w:div>
    <w:div w:id="460849433">
      <w:bodyDiv w:val="1"/>
      <w:marLeft w:val="0"/>
      <w:marRight w:val="0"/>
      <w:marTop w:val="0"/>
      <w:marBottom w:val="0"/>
      <w:divBdr>
        <w:top w:val="none" w:sz="0" w:space="0" w:color="auto"/>
        <w:left w:val="none" w:sz="0" w:space="0" w:color="auto"/>
        <w:bottom w:val="none" w:sz="0" w:space="0" w:color="auto"/>
        <w:right w:val="none" w:sz="0" w:space="0" w:color="auto"/>
      </w:divBdr>
    </w:div>
    <w:div w:id="819157550">
      <w:bodyDiv w:val="1"/>
      <w:marLeft w:val="0"/>
      <w:marRight w:val="0"/>
      <w:marTop w:val="0"/>
      <w:marBottom w:val="0"/>
      <w:divBdr>
        <w:top w:val="none" w:sz="0" w:space="0" w:color="auto"/>
        <w:left w:val="none" w:sz="0" w:space="0" w:color="auto"/>
        <w:bottom w:val="none" w:sz="0" w:space="0" w:color="auto"/>
        <w:right w:val="none" w:sz="0" w:space="0" w:color="auto"/>
      </w:divBdr>
    </w:div>
    <w:div w:id="833495365">
      <w:bodyDiv w:val="1"/>
      <w:marLeft w:val="0"/>
      <w:marRight w:val="0"/>
      <w:marTop w:val="0"/>
      <w:marBottom w:val="0"/>
      <w:divBdr>
        <w:top w:val="none" w:sz="0" w:space="0" w:color="auto"/>
        <w:left w:val="none" w:sz="0" w:space="0" w:color="auto"/>
        <w:bottom w:val="none" w:sz="0" w:space="0" w:color="auto"/>
        <w:right w:val="none" w:sz="0" w:space="0" w:color="auto"/>
      </w:divBdr>
    </w:div>
    <w:div w:id="878323843">
      <w:bodyDiv w:val="1"/>
      <w:marLeft w:val="0"/>
      <w:marRight w:val="0"/>
      <w:marTop w:val="0"/>
      <w:marBottom w:val="0"/>
      <w:divBdr>
        <w:top w:val="none" w:sz="0" w:space="0" w:color="auto"/>
        <w:left w:val="none" w:sz="0" w:space="0" w:color="auto"/>
        <w:bottom w:val="none" w:sz="0" w:space="0" w:color="auto"/>
        <w:right w:val="none" w:sz="0" w:space="0" w:color="auto"/>
      </w:divBdr>
    </w:div>
    <w:div w:id="1079669927">
      <w:bodyDiv w:val="1"/>
      <w:marLeft w:val="0"/>
      <w:marRight w:val="0"/>
      <w:marTop w:val="0"/>
      <w:marBottom w:val="0"/>
      <w:divBdr>
        <w:top w:val="none" w:sz="0" w:space="0" w:color="auto"/>
        <w:left w:val="none" w:sz="0" w:space="0" w:color="auto"/>
        <w:bottom w:val="none" w:sz="0" w:space="0" w:color="auto"/>
        <w:right w:val="none" w:sz="0" w:space="0" w:color="auto"/>
      </w:divBdr>
    </w:div>
    <w:div w:id="1117486432">
      <w:bodyDiv w:val="1"/>
      <w:marLeft w:val="0"/>
      <w:marRight w:val="0"/>
      <w:marTop w:val="0"/>
      <w:marBottom w:val="0"/>
      <w:divBdr>
        <w:top w:val="none" w:sz="0" w:space="0" w:color="auto"/>
        <w:left w:val="none" w:sz="0" w:space="0" w:color="auto"/>
        <w:bottom w:val="none" w:sz="0" w:space="0" w:color="auto"/>
        <w:right w:val="none" w:sz="0" w:space="0" w:color="auto"/>
      </w:divBdr>
    </w:div>
    <w:div w:id="1141265416">
      <w:bodyDiv w:val="1"/>
      <w:marLeft w:val="0"/>
      <w:marRight w:val="0"/>
      <w:marTop w:val="0"/>
      <w:marBottom w:val="0"/>
      <w:divBdr>
        <w:top w:val="none" w:sz="0" w:space="0" w:color="auto"/>
        <w:left w:val="none" w:sz="0" w:space="0" w:color="auto"/>
        <w:bottom w:val="none" w:sz="0" w:space="0" w:color="auto"/>
        <w:right w:val="none" w:sz="0" w:space="0" w:color="auto"/>
      </w:divBdr>
    </w:div>
    <w:div w:id="1234972760">
      <w:bodyDiv w:val="1"/>
      <w:marLeft w:val="0"/>
      <w:marRight w:val="0"/>
      <w:marTop w:val="0"/>
      <w:marBottom w:val="0"/>
      <w:divBdr>
        <w:top w:val="none" w:sz="0" w:space="0" w:color="auto"/>
        <w:left w:val="none" w:sz="0" w:space="0" w:color="auto"/>
        <w:bottom w:val="none" w:sz="0" w:space="0" w:color="auto"/>
        <w:right w:val="none" w:sz="0" w:space="0" w:color="auto"/>
      </w:divBdr>
    </w:div>
    <w:div w:id="1258714183">
      <w:bodyDiv w:val="1"/>
      <w:marLeft w:val="0"/>
      <w:marRight w:val="0"/>
      <w:marTop w:val="0"/>
      <w:marBottom w:val="0"/>
      <w:divBdr>
        <w:top w:val="none" w:sz="0" w:space="0" w:color="auto"/>
        <w:left w:val="none" w:sz="0" w:space="0" w:color="auto"/>
        <w:bottom w:val="none" w:sz="0" w:space="0" w:color="auto"/>
        <w:right w:val="none" w:sz="0" w:space="0" w:color="auto"/>
      </w:divBdr>
    </w:div>
    <w:div w:id="1558780054">
      <w:bodyDiv w:val="1"/>
      <w:marLeft w:val="0"/>
      <w:marRight w:val="0"/>
      <w:marTop w:val="0"/>
      <w:marBottom w:val="0"/>
      <w:divBdr>
        <w:top w:val="none" w:sz="0" w:space="0" w:color="auto"/>
        <w:left w:val="none" w:sz="0" w:space="0" w:color="auto"/>
        <w:bottom w:val="none" w:sz="0" w:space="0" w:color="auto"/>
        <w:right w:val="none" w:sz="0" w:space="0" w:color="auto"/>
      </w:divBdr>
    </w:div>
    <w:div w:id="1853910432">
      <w:bodyDiv w:val="1"/>
      <w:marLeft w:val="0"/>
      <w:marRight w:val="0"/>
      <w:marTop w:val="0"/>
      <w:marBottom w:val="0"/>
      <w:divBdr>
        <w:top w:val="none" w:sz="0" w:space="0" w:color="auto"/>
        <w:left w:val="none" w:sz="0" w:space="0" w:color="auto"/>
        <w:bottom w:val="none" w:sz="0" w:space="0" w:color="auto"/>
        <w:right w:val="none" w:sz="0" w:space="0" w:color="auto"/>
      </w:divBdr>
    </w:div>
    <w:div w:id="2048793138">
      <w:bodyDiv w:val="1"/>
      <w:marLeft w:val="0"/>
      <w:marRight w:val="0"/>
      <w:marTop w:val="0"/>
      <w:marBottom w:val="0"/>
      <w:divBdr>
        <w:top w:val="none" w:sz="0" w:space="0" w:color="auto"/>
        <w:left w:val="none" w:sz="0" w:space="0" w:color="auto"/>
        <w:bottom w:val="none" w:sz="0" w:space="0" w:color="auto"/>
        <w:right w:val="none" w:sz="0" w:space="0" w:color="auto"/>
      </w:divBdr>
    </w:div>
    <w:div w:id="2117097487">
      <w:bodyDiv w:val="1"/>
      <w:marLeft w:val="45"/>
      <w:marRight w:val="45"/>
      <w:marTop w:val="45"/>
      <w:marBottom w:val="45"/>
      <w:divBdr>
        <w:top w:val="none" w:sz="0" w:space="0" w:color="auto"/>
        <w:left w:val="none" w:sz="0" w:space="0" w:color="auto"/>
        <w:bottom w:val="none" w:sz="0" w:space="0" w:color="auto"/>
        <w:right w:val="none" w:sz="0" w:space="0" w:color="auto"/>
      </w:divBdr>
      <w:divsChild>
        <w:div w:id="1360666015">
          <w:marLeft w:val="0"/>
          <w:marRight w:val="0"/>
          <w:marTop w:val="0"/>
          <w:marBottom w:val="75"/>
          <w:divBdr>
            <w:top w:val="none" w:sz="0" w:space="0" w:color="auto"/>
            <w:left w:val="none" w:sz="0" w:space="0" w:color="auto"/>
            <w:bottom w:val="none" w:sz="0" w:space="0" w:color="auto"/>
            <w:right w:val="none" w:sz="0" w:space="0" w:color="auto"/>
          </w:divBdr>
        </w:div>
      </w:divsChild>
    </w:div>
    <w:div w:id="212634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net/ITU-R/conferences/docs/ties/wrc-res-086-en.pdf" TargetMode="External"/><Relationship Id="rId13" Type="http://schemas.openxmlformats.org/officeDocument/2006/relationships/hyperlink" Target="https://www.itu.int/dms_ties/itu-r/md/19/wp4a/c/R19-WP4A-C-0691!N25!MSW-E.doc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itu.int/dms_ties/itu-r/md/19/wp4a/c/R19-WP4A-C-0522!!MSW-E.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dms_pub/itu-r/md/16/wrc19/c/R16-WRC19-C-0571!!MSW-E.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dms_ties/itu-r/md/19/wp4a/c/R19-WP4A-C-0691!N42!MSW-E.doc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itu.int/dms_ties/itu-r/md/19/wp4a/c/R19-WP4A-C-0691!!MSW-E.docx" TargetMode="External"/><Relationship Id="rId14" Type="http://schemas.openxmlformats.org/officeDocument/2006/relationships/hyperlink" Target="https://www.itu.int/dms_ties/itu-r/md/19/wp4a/c/R19-WP4A-C-0691!N32!MSW-E.docx"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5393</Words>
  <Characters>29665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34989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2022-11-23T10:44:00Z</dcterms:created>
  <dcterms:modified xsi:type="dcterms:W3CDTF">2022-11-24T14:02:00Z</dcterms:modified>
  <cp:category/>
  <cp:contentStatus/>
</cp:coreProperties>
</file>