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66DE2" w14:textId="77777777" w:rsidR="00A016BD" w:rsidRPr="006564F6" w:rsidRDefault="00A016BD" w:rsidP="00A016BD">
      <w:pPr>
        <w:pStyle w:val="Header"/>
        <w:jc w:val="center"/>
        <w:rPr>
          <w:b/>
          <w:caps/>
        </w:rPr>
      </w:pPr>
      <w:r w:rsidRPr="006564F6">
        <w:rPr>
          <w:b/>
          <w:caps/>
        </w:rPr>
        <w:t>įsakyMAS</w:t>
      </w:r>
    </w:p>
    <w:p w14:paraId="68E25ECD" w14:textId="77777777" w:rsidR="00A016BD" w:rsidRPr="006564F6" w:rsidRDefault="00A016BD" w:rsidP="00A016BD">
      <w:pPr>
        <w:pStyle w:val="Header"/>
        <w:jc w:val="center"/>
        <w:rPr>
          <w:b/>
          <w:caps/>
        </w:rPr>
      </w:pPr>
      <w:r w:rsidRPr="006564F6">
        <w:rPr>
          <w:b/>
        </w:rPr>
        <w:t>DĖL 2021</w:t>
      </w:r>
      <w:r>
        <w:rPr>
          <w:b/>
        </w:rPr>
        <w:t>–</w:t>
      </w:r>
      <w:r w:rsidRPr="006564F6">
        <w:rPr>
          <w:b/>
        </w:rPr>
        <w:t xml:space="preserve">2022 </w:t>
      </w:r>
      <w:r>
        <w:rPr>
          <w:b/>
        </w:rPr>
        <w:t xml:space="preserve">M. </w:t>
      </w:r>
      <w:r w:rsidRPr="006564F6">
        <w:rPr>
          <w:b/>
        </w:rPr>
        <w:t>TARNYBINIO TRAUKINIŲ TVARKARAŠČIO GALIOJIMO LAIKOTARPIU</w:t>
      </w:r>
      <w:r>
        <w:rPr>
          <w:b/>
        </w:rPr>
        <w:t>I</w:t>
      </w:r>
      <w:r w:rsidRPr="006564F6">
        <w:rPr>
          <w:b/>
        </w:rPr>
        <w:t xml:space="preserve"> AB „LTG INFRA“ NUSTATYTŲ UŽMOKESČIŲ UŽ TEIKIAMAS PASLAUGAS „NAUDOJIMASIS GELEŽINKELIŲ PASLAUGŲ ĮRENGINIUI PRISKIRTAIS STOTIES IR (AR) PRIVAŽIUOJAMAISIAIS GELEŽINKELIO KELIAIS VAGONŲ VARYMUI“ IR „NAUDOJIMASIS TRAUKINIŲ FORMAVIMO IR MANEVRAVIMO ĮRENGINIAIS“</w:t>
      </w:r>
    </w:p>
    <w:p w14:paraId="3764FE3E" w14:textId="77777777" w:rsidR="00BD78E9" w:rsidRDefault="00BD78E9" w:rsidP="00631B9F">
      <w:pPr>
        <w:autoSpaceDE w:val="0"/>
        <w:autoSpaceDN w:val="0"/>
        <w:adjustRightInd w:val="0"/>
        <w:spacing w:line="280" w:lineRule="exact"/>
      </w:pPr>
    </w:p>
    <w:p w14:paraId="387A5815" w14:textId="671403F4" w:rsidR="00BD78E9" w:rsidRDefault="003A336C" w:rsidP="00631B9F">
      <w:pPr>
        <w:autoSpaceDE w:val="0"/>
        <w:autoSpaceDN w:val="0"/>
        <w:adjustRightInd w:val="0"/>
        <w:spacing w:line="280" w:lineRule="exact"/>
        <w:jc w:val="center"/>
      </w:pPr>
      <w:r>
        <w:t xml:space="preserve">2022-04-13 </w:t>
      </w:r>
      <w:r w:rsidR="00BD78E9">
        <w:t>Nr.</w:t>
      </w:r>
      <w:r>
        <w:t xml:space="preserve"> (1.9E)1V-280</w:t>
      </w:r>
      <w:permStart w:id="1661603819" w:edGrp="everyone"/>
      <w:permEnd w:id="1661603819"/>
    </w:p>
    <w:p w14:paraId="4891E303" w14:textId="77777777" w:rsidR="00BD78E9" w:rsidRDefault="00BD78E9" w:rsidP="00631B9F">
      <w:pPr>
        <w:autoSpaceDE w:val="0"/>
        <w:autoSpaceDN w:val="0"/>
        <w:adjustRightInd w:val="0"/>
        <w:spacing w:line="280" w:lineRule="exact"/>
        <w:jc w:val="center"/>
      </w:pPr>
      <w:r>
        <w:t>Vilnius</w:t>
      </w:r>
    </w:p>
    <w:p w14:paraId="1FBECB93" w14:textId="77777777" w:rsidR="00231875" w:rsidRDefault="00231875" w:rsidP="00631B9F">
      <w:pPr>
        <w:autoSpaceDE w:val="0"/>
        <w:autoSpaceDN w:val="0"/>
        <w:adjustRightInd w:val="0"/>
        <w:spacing w:line="280" w:lineRule="exact"/>
        <w:jc w:val="center"/>
      </w:pPr>
    </w:p>
    <w:p w14:paraId="59601DA4" w14:textId="02141B37" w:rsidR="00195403" w:rsidRDefault="009C523D" w:rsidP="00F8321F">
      <w:pPr>
        <w:tabs>
          <w:tab w:val="left" w:pos="720"/>
        </w:tabs>
        <w:autoSpaceDE w:val="0"/>
        <w:autoSpaceDN w:val="0"/>
        <w:adjustRightInd w:val="0"/>
        <w:spacing w:line="280" w:lineRule="exact"/>
        <w:jc w:val="both"/>
        <w:rPr>
          <w:color w:val="000000" w:themeColor="text1"/>
        </w:rPr>
      </w:pPr>
      <w:r w:rsidRPr="00350D0A">
        <w:tab/>
      </w:r>
      <w:r w:rsidR="00F8321F" w:rsidRPr="006564F6">
        <w:rPr>
          <w:color w:val="000000" w:themeColor="text1"/>
        </w:rPr>
        <w:t xml:space="preserve">Vadovaudamasis Lietuvos Respublikos geležinkelių transporto kodekso (toliau – Kodeksas) </w:t>
      </w:r>
      <w:bookmarkStart w:id="0" w:name="_Hlk58836888"/>
      <w:r w:rsidR="00F8321F" w:rsidRPr="006564F6">
        <w:rPr>
          <w:color w:val="000000" w:themeColor="text1"/>
        </w:rPr>
        <w:t>7</w:t>
      </w:r>
      <w:r w:rsidR="00F8321F" w:rsidRPr="006564F6">
        <w:rPr>
          <w:color w:val="000000" w:themeColor="text1"/>
          <w:vertAlign w:val="superscript"/>
        </w:rPr>
        <w:t>1</w:t>
      </w:r>
      <w:r w:rsidR="00F8321F" w:rsidRPr="006564F6">
        <w:rPr>
          <w:color w:val="000000" w:themeColor="text1"/>
        </w:rPr>
        <w:t xml:space="preserve"> straipsnio 1 dalies 1 punktu </w:t>
      </w:r>
      <w:bookmarkEnd w:id="0"/>
      <w:r w:rsidR="00F8321F" w:rsidRPr="00795FFF">
        <w:rPr>
          <w:color w:val="000000" w:themeColor="text1"/>
        </w:rPr>
        <w:t xml:space="preserve">ir </w:t>
      </w:r>
      <w:r w:rsidR="00F8321F" w:rsidRPr="00BF0AF4">
        <w:rPr>
          <w:color w:val="000000" w:themeColor="text1"/>
        </w:rPr>
        <w:t>2 dalimi</w:t>
      </w:r>
      <w:r w:rsidR="00F8321F" w:rsidRPr="006564F6">
        <w:rPr>
          <w:color w:val="000000" w:themeColor="text1"/>
        </w:rPr>
        <w:t xml:space="preserve"> bei įvertinęs AB „LTG Infra“ (Geležinkelio g. 2, 02100 </w:t>
      </w:r>
      <w:r w:rsidR="00F8321F">
        <w:rPr>
          <w:color w:val="000000" w:themeColor="text1"/>
        </w:rPr>
        <w:t>V</w:t>
      </w:r>
      <w:r w:rsidR="00F8321F" w:rsidRPr="006564F6">
        <w:rPr>
          <w:color w:val="000000" w:themeColor="text1"/>
        </w:rPr>
        <w:t xml:space="preserve">ilnius, įmonės kodas 305202934) (toliau – </w:t>
      </w:r>
      <w:r w:rsidR="006454C2">
        <w:rPr>
          <w:color w:val="000000" w:themeColor="text1"/>
        </w:rPr>
        <w:t>Infra</w:t>
      </w:r>
      <w:r w:rsidR="00F8321F" w:rsidRPr="006564F6">
        <w:rPr>
          <w:color w:val="000000" w:themeColor="text1"/>
        </w:rPr>
        <w:t xml:space="preserve">) viešai skelbiamus </w:t>
      </w:r>
      <w:r w:rsidR="00F8321F" w:rsidRPr="00056932">
        <w:rPr>
          <w:color w:val="000000" w:themeColor="text1"/>
        </w:rPr>
        <w:t>2021</w:t>
      </w:r>
      <w:r w:rsidR="00F8321F">
        <w:rPr>
          <w:color w:val="000000" w:themeColor="text1"/>
        </w:rPr>
        <w:t>–</w:t>
      </w:r>
      <w:r w:rsidR="00F8321F" w:rsidRPr="00056932">
        <w:rPr>
          <w:color w:val="000000" w:themeColor="text1"/>
        </w:rPr>
        <w:t>2022 m. tarnybinio traukinių tvarkaraščio (toliau</w:t>
      </w:r>
      <w:r w:rsidR="00F8321F">
        <w:rPr>
          <w:color w:val="000000" w:themeColor="text1"/>
        </w:rPr>
        <w:t xml:space="preserve"> – </w:t>
      </w:r>
      <w:r w:rsidR="00F8321F" w:rsidRPr="00056932">
        <w:rPr>
          <w:color w:val="000000" w:themeColor="text1"/>
        </w:rPr>
        <w:t>2021</w:t>
      </w:r>
      <w:r w:rsidR="00F8321F">
        <w:rPr>
          <w:color w:val="000000" w:themeColor="text1"/>
        </w:rPr>
        <w:t>–</w:t>
      </w:r>
      <w:r w:rsidR="00F8321F" w:rsidRPr="00056932">
        <w:rPr>
          <w:color w:val="000000" w:themeColor="text1"/>
        </w:rPr>
        <w:t xml:space="preserve">2022 TTT) galiojimo </w:t>
      </w:r>
      <w:r w:rsidR="00F8321F" w:rsidRPr="002E7C33">
        <w:rPr>
          <w:color w:val="000000" w:themeColor="text1"/>
        </w:rPr>
        <w:t xml:space="preserve">laikotarpiui </w:t>
      </w:r>
      <w:r w:rsidR="006454C2">
        <w:rPr>
          <w:color w:val="000000" w:themeColor="text1"/>
        </w:rPr>
        <w:t>Infr</w:t>
      </w:r>
      <w:r w:rsidR="00C8451A">
        <w:rPr>
          <w:color w:val="000000" w:themeColor="text1"/>
        </w:rPr>
        <w:t>os</w:t>
      </w:r>
      <w:r w:rsidR="006454C2" w:rsidRPr="002E7C33">
        <w:rPr>
          <w:color w:val="000000" w:themeColor="text1"/>
        </w:rPr>
        <w:t xml:space="preserve"> </w:t>
      </w:r>
      <w:r w:rsidR="00F8321F" w:rsidRPr="002E7C33">
        <w:rPr>
          <w:color w:val="000000" w:themeColor="text1"/>
        </w:rPr>
        <w:t>valdomuose geležinkelių paslaugų įrenginiuose (toliau – GPĮ) teikiamų paslaugų tarifus</w:t>
      </w:r>
      <w:r w:rsidR="00F8321F" w:rsidRPr="002E7C33">
        <w:rPr>
          <w:rStyle w:val="FootnoteReference"/>
          <w:color w:val="000000" w:themeColor="text1"/>
        </w:rPr>
        <w:footnoteReference w:id="1"/>
      </w:r>
      <w:r w:rsidR="00F8321F" w:rsidRPr="002E7C33">
        <w:rPr>
          <w:color w:val="000000" w:themeColor="text1"/>
        </w:rPr>
        <w:t xml:space="preserve">, </w:t>
      </w:r>
      <w:r w:rsidR="006454C2">
        <w:rPr>
          <w:color w:val="000000" w:themeColor="text1"/>
        </w:rPr>
        <w:t>Infr</w:t>
      </w:r>
      <w:r w:rsidR="00C8451A">
        <w:rPr>
          <w:color w:val="000000" w:themeColor="text1"/>
        </w:rPr>
        <w:t>os</w:t>
      </w:r>
      <w:r w:rsidR="006454C2">
        <w:rPr>
          <w:color w:val="000000" w:themeColor="text1"/>
        </w:rPr>
        <w:t xml:space="preserve"> </w:t>
      </w:r>
      <w:r w:rsidR="00F8321F" w:rsidRPr="002E7C33">
        <w:t xml:space="preserve">2021 m. </w:t>
      </w:r>
      <w:r w:rsidR="00F8321F" w:rsidRPr="00AB33D8">
        <w:t>kovo 8 d. raštu Nr. SD-PAJ(LGI)-27</w:t>
      </w:r>
      <w:r w:rsidR="00F8321F" w:rsidRPr="002E7C33">
        <w:t xml:space="preserve"> (toliau – Raštas Nr. SD-PAJ(LGI)-27), 2021 m. </w:t>
      </w:r>
      <w:r w:rsidR="00F8321F" w:rsidRPr="00AB33D8">
        <w:t>gegužės 24 d. raštu Nr. SD(LGI)-243</w:t>
      </w:r>
      <w:r w:rsidR="00F8321F" w:rsidRPr="002E7C33">
        <w:t xml:space="preserve">8 (toliau – Raštas Nr. SD(LGI)-2438), 2021 m. liepos 20 d. raštu Nr. </w:t>
      </w:r>
      <w:r w:rsidR="00F8321F" w:rsidRPr="00AB33D8">
        <w:t>SD(LGI)-3358</w:t>
      </w:r>
      <w:r w:rsidR="00F8321F" w:rsidRPr="002E7C33">
        <w:t xml:space="preserve"> (toliau – Raštas Nr. SD(LGI)-3358), 2021 m. spalio 22 d. raštu Nr. </w:t>
      </w:r>
      <w:r w:rsidR="00F8321F" w:rsidRPr="00AB33D8">
        <w:t>SD(LGI)-4725</w:t>
      </w:r>
      <w:r w:rsidR="00F8321F" w:rsidRPr="002E7C33">
        <w:t xml:space="preserve"> (toliau – Raštas Nr. SD(LGI)-4725)</w:t>
      </w:r>
      <w:r w:rsidR="00F8321F">
        <w:t>,</w:t>
      </w:r>
      <w:r w:rsidR="00F8321F" w:rsidRPr="002E7C33">
        <w:t xml:space="preserve"> 2021 m. gruodžio 17 d. raštu Nr. </w:t>
      </w:r>
      <w:r w:rsidR="00F8321F" w:rsidRPr="00AB33D8">
        <w:t>SD(LGI)-5635</w:t>
      </w:r>
      <w:r w:rsidR="00F8321F" w:rsidRPr="002E7C33">
        <w:t xml:space="preserve"> (toliau – Raštas Nr. SD(LGI)-5635)</w:t>
      </w:r>
      <w:r w:rsidR="00F8321F">
        <w:t xml:space="preserve">, 2022 m. kovo </w:t>
      </w:r>
      <w:r w:rsidR="00645C5A">
        <w:t xml:space="preserve">   </w:t>
      </w:r>
      <w:r w:rsidR="00F8321F">
        <w:t>3 d. raštu Nr. SD(INFRA)-836/2022 (toliau – Raštas Nr.</w:t>
      </w:r>
      <w:r w:rsidR="00F8321F" w:rsidRPr="00864B8E">
        <w:t xml:space="preserve"> </w:t>
      </w:r>
      <w:r w:rsidR="00F8321F">
        <w:t>SD(INFRA)-836/2022)</w:t>
      </w:r>
      <w:r w:rsidR="00F8321F" w:rsidRPr="002E7C33">
        <w:t>;</w:t>
      </w:r>
      <w:r w:rsidR="00F8321F" w:rsidRPr="002E7C33">
        <w:rPr>
          <w:color w:val="000000" w:themeColor="text1"/>
        </w:rPr>
        <w:t xml:space="preserve"> UAB „Gargždų geležinkelis“ (Gamyklos g. 21, 96155 Gargždai, įmonės kodas 163143475) (toliau – GG) 2021 m. spalio 21 d. raštu </w:t>
      </w:r>
      <w:r w:rsidR="00F8321F" w:rsidRPr="00AB33D8">
        <w:rPr>
          <w:color w:val="000000" w:themeColor="text1"/>
        </w:rPr>
        <w:t xml:space="preserve">Nr. </w:t>
      </w:r>
      <w:r w:rsidR="00F8321F" w:rsidRPr="00AB33D8">
        <w:rPr>
          <w:color w:val="000000" w:themeColor="text1"/>
          <w:lang w:val="en-US"/>
        </w:rPr>
        <w:t>181</w:t>
      </w:r>
      <w:r w:rsidR="00F8321F" w:rsidRPr="002E7C33">
        <w:rPr>
          <w:color w:val="000000" w:themeColor="text1"/>
          <w:lang w:val="en-US"/>
        </w:rPr>
        <w:t xml:space="preserve"> (toliau </w:t>
      </w:r>
      <w:r w:rsidR="00F8321F" w:rsidRPr="002E7C33">
        <w:t xml:space="preserve">– </w:t>
      </w:r>
      <w:r w:rsidR="00F8321F" w:rsidRPr="002E7C33">
        <w:rPr>
          <w:color w:val="000000" w:themeColor="text1"/>
          <w:lang w:val="en-US"/>
        </w:rPr>
        <w:t>Ra</w:t>
      </w:r>
      <w:r w:rsidR="00F8321F" w:rsidRPr="002E7C33">
        <w:rPr>
          <w:color w:val="000000" w:themeColor="text1"/>
        </w:rPr>
        <w:t xml:space="preserve">štas Nr. 181); AB „LTG Cargo“ (Geležinkelio g. </w:t>
      </w:r>
      <w:r w:rsidR="00F8321F" w:rsidRPr="002E7C33">
        <w:rPr>
          <w:color w:val="000000" w:themeColor="text1"/>
          <w:lang w:val="en-US"/>
        </w:rPr>
        <w:t xml:space="preserve">12, 02100 Vilnius, </w:t>
      </w:r>
      <w:r w:rsidR="00F8321F" w:rsidRPr="002E7C33">
        <w:rPr>
          <w:color w:val="000000" w:themeColor="text1"/>
        </w:rPr>
        <w:t xml:space="preserve">įmonės kodas </w:t>
      </w:r>
      <w:r w:rsidR="00F8321F" w:rsidRPr="002E7C33">
        <w:rPr>
          <w:color w:val="000000" w:themeColor="text1"/>
          <w:lang w:val="en-US"/>
        </w:rPr>
        <w:t>304977594)</w:t>
      </w:r>
      <w:r w:rsidR="00F8321F" w:rsidRPr="002E7C33">
        <w:rPr>
          <w:color w:val="000000" w:themeColor="text1"/>
        </w:rPr>
        <w:t xml:space="preserve"> (toliau – LTG Cargo) </w:t>
      </w:r>
      <w:r w:rsidR="00F8321F" w:rsidRPr="002E7C33">
        <w:rPr>
          <w:color w:val="000000" w:themeColor="text1"/>
          <w:lang w:val="en-US"/>
        </w:rPr>
        <w:t>2021 m. spalio 20 d. ra</w:t>
      </w:r>
      <w:r w:rsidR="00F8321F" w:rsidRPr="002E7C33">
        <w:rPr>
          <w:color w:val="000000" w:themeColor="text1"/>
        </w:rPr>
        <w:t>štu Nr. </w:t>
      </w:r>
      <w:r w:rsidR="00F8321F" w:rsidRPr="00AB33D8">
        <w:rPr>
          <w:color w:val="000000" w:themeColor="text1"/>
        </w:rPr>
        <w:t>SD(CARGO)-</w:t>
      </w:r>
      <w:r w:rsidR="00F8321F" w:rsidRPr="00AB33D8">
        <w:rPr>
          <w:color w:val="000000" w:themeColor="text1"/>
          <w:lang w:val="en-US"/>
        </w:rPr>
        <w:t>4663</w:t>
      </w:r>
      <w:r w:rsidR="00F8321F" w:rsidRPr="002E7C33">
        <w:rPr>
          <w:color w:val="000000" w:themeColor="text1"/>
          <w:lang w:val="en-US"/>
        </w:rPr>
        <w:t xml:space="preserve"> (toliau </w:t>
      </w:r>
      <w:r w:rsidR="00F8321F" w:rsidRPr="002E7C33">
        <w:t xml:space="preserve">– Raštas Nr. </w:t>
      </w:r>
      <w:r w:rsidR="00F8321F" w:rsidRPr="002E7C33">
        <w:rPr>
          <w:color w:val="000000" w:themeColor="text1"/>
          <w:lang w:val="en-US"/>
        </w:rPr>
        <w:t>SD(CARGO)-4663);</w:t>
      </w:r>
      <w:r w:rsidR="00F8321F" w:rsidRPr="002E7C33">
        <w:rPr>
          <w:color w:val="000000" w:themeColor="text1"/>
        </w:rPr>
        <w:t xml:space="preserve"> </w:t>
      </w:r>
      <w:r w:rsidR="00F8321F" w:rsidRPr="002E7C33">
        <w:rPr>
          <w:color w:val="000000" w:themeColor="text1"/>
          <w:lang w:val="en-US"/>
        </w:rPr>
        <w:t>UAB </w:t>
      </w:r>
      <w:r w:rsidR="00F8321F" w:rsidRPr="002E7C33">
        <w:rPr>
          <w:color w:val="000000" w:themeColor="text1"/>
        </w:rPr>
        <w:t>„Transachema“ (Jonalaukio k.</w:t>
      </w:r>
      <w:r w:rsidR="00443226">
        <w:rPr>
          <w:color w:val="000000" w:themeColor="text1"/>
        </w:rPr>
        <w:t>,</w:t>
      </w:r>
      <w:r w:rsidR="00F8321F" w:rsidRPr="002E7C33">
        <w:rPr>
          <w:color w:val="000000" w:themeColor="text1"/>
        </w:rPr>
        <w:t xml:space="preserve"> Ruklos sen., 55296 Jonavos r. sav., įmonės kodas 156900490) (toliau – Transachema) 2021 m</w:t>
      </w:r>
      <w:r w:rsidR="00F8321F" w:rsidRPr="00AB33D8">
        <w:rPr>
          <w:color w:val="000000" w:themeColor="text1"/>
        </w:rPr>
        <w:t>. spalio 19 d. raštu Nr. TR-9252/0953 (toliau – Raštas Nr. TR-9252/0953)</w:t>
      </w:r>
      <w:r w:rsidR="00F8321F" w:rsidRPr="002E7C33">
        <w:rPr>
          <w:color w:val="000000" w:themeColor="text1"/>
        </w:rPr>
        <w:t xml:space="preserve">, 2022 m. sausio 11 d. raštu Nr. TR-9252/1049 (toliau – Raštas Nr. TR-9252/1049); AB „Akmenės cementas“ (J. Dalinkevičiaus g. 2, 85118 Naujoji Akmenė, įmonės kodas 153009143) (toliau – AC) 2021 m. spalio 21 d. raštu </w:t>
      </w:r>
      <w:r w:rsidR="00F8321F" w:rsidRPr="00AB33D8">
        <w:rPr>
          <w:color w:val="000000" w:themeColor="text1"/>
        </w:rPr>
        <w:t>Nr. 24-259 (toliau – Raštas Nr. 24-259) ir 2021 m. lapkričio 16 d. raštu Nr. 24-280 (toliau – Raštas Nr. 24-280) pate</w:t>
      </w:r>
      <w:r w:rsidR="00F8321F" w:rsidRPr="002E7C33">
        <w:rPr>
          <w:color w:val="000000" w:themeColor="text1"/>
        </w:rPr>
        <w:t>iktą informaciją:</w:t>
      </w:r>
    </w:p>
    <w:p w14:paraId="4CC5C165" w14:textId="77777777" w:rsidR="00195403" w:rsidRDefault="00195403" w:rsidP="000F5C00">
      <w:pPr>
        <w:pStyle w:val="BodyTextIndent"/>
        <w:tabs>
          <w:tab w:val="left" w:pos="1134"/>
        </w:tabs>
        <w:spacing w:line="280" w:lineRule="exact"/>
        <w:ind w:firstLine="0"/>
        <w:rPr>
          <w:color w:val="000000" w:themeColor="text1"/>
        </w:rPr>
      </w:pPr>
    </w:p>
    <w:p w14:paraId="2F11258F" w14:textId="77777777" w:rsidR="00F8321F" w:rsidRPr="00C34928" w:rsidRDefault="00F8321F" w:rsidP="00F8321F">
      <w:pPr>
        <w:tabs>
          <w:tab w:val="left" w:pos="851"/>
        </w:tabs>
        <w:ind w:firstLine="720"/>
        <w:jc w:val="both"/>
        <w:rPr>
          <w:b/>
          <w:color w:val="000000" w:themeColor="text1"/>
        </w:rPr>
      </w:pPr>
      <w:r>
        <w:rPr>
          <w:bCs/>
          <w:color w:val="000000" w:themeColor="text1"/>
          <w:spacing w:val="80"/>
        </w:rPr>
        <w:t>n</w:t>
      </w:r>
      <w:r w:rsidRPr="00056932">
        <w:rPr>
          <w:bCs/>
          <w:color w:val="000000" w:themeColor="text1"/>
          <w:spacing w:val="80"/>
        </w:rPr>
        <w:t>ustačia</w:t>
      </w:r>
      <w:r w:rsidRPr="001B03F2">
        <w:rPr>
          <w:bCs/>
          <w:color w:val="000000" w:themeColor="text1"/>
        </w:rPr>
        <w:t xml:space="preserve">u, </w:t>
      </w:r>
      <w:r w:rsidRPr="00C34928">
        <w:rPr>
          <w:color w:val="000000" w:themeColor="text1"/>
        </w:rPr>
        <w:t>kad:</w:t>
      </w:r>
    </w:p>
    <w:p w14:paraId="3FDAACA6" w14:textId="77777777" w:rsidR="00F8321F" w:rsidRPr="00517F80" w:rsidRDefault="00F8321F" w:rsidP="00F8321F">
      <w:pPr>
        <w:tabs>
          <w:tab w:val="left" w:pos="851"/>
        </w:tabs>
        <w:ind w:firstLine="720"/>
        <w:jc w:val="both"/>
        <w:rPr>
          <w:b/>
          <w:color w:val="000000" w:themeColor="text1"/>
          <w:lang w:val="en-US"/>
        </w:rPr>
      </w:pPr>
    </w:p>
    <w:p w14:paraId="20532DBE" w14:textId="7579D5DE" w:rsidR="00F8321F" w:rsidRPr="00C34928" w:rsidRDefault="006454C2" w:rsidP="00F8321F">
      <w:pPr>
        <w:pStyle w:val="NormalWeb"/>
        <w:numPr>
          <w:ilvl w:val="0"/>
          <w:numId w:val="15"/>
        </w:numPr>
        <w:tabs>
          <w:tab w:val="left" w:pos="993"/>
        </w:tabs>
        <w:spacing w:before="0" w:beforeAutospacing="0" w:after="0" w:afterAutospacing="0"/>
        <w:ind w:left="0" w:firstLine="720"/>
        <w:contextualSpacing/>
        <w:jc w:val="both"/>
        <w:rPr>
          <w:bCs/>
        </w:rPr>
      </w:pPr>
      <w:r>
        <w:rPr>
          <w:bCs/>
        </w:rPr>
        <w:t>Infra</w:t>
      </w:r>
      <w:r w:rsidRPr="00C34928">
        <w:rPr>
          <w:bCs/>
        </w:rPr>
        <w:t xml:space="preserve"> </w:t>
      </w:r>
      <w:r w:rsidR="00F8321F" w:rsidRPr="00C34928">
        <w:rPr>
          <w:bCs/>
        </w:rPr>
        <w:t xml:space="preserve">2020 m. gruodžio 16 d. </w:t>
      </w:r>
      <w:r w:rsidR="00F8321F">
        <w:rPr>
          <w:bCs/>
        </w:rPr>
        <w:t>savo internet</w:t>
      </w:r>
      <w:r w:rsidR="00443226">
        <w:rPr>
          <w:bCs/>
        </w:rPr>
        <w:t>o</w:t>
      </w:r>
      <w:r w:rsidR="00F8321F">
        <w:rPr>
          <w:bCs/>
        </w:rPr>
        <w:t xml:space="preserve"> svetainėje </w:t>
      </w:r>
      <w:r w:rsidR="00F8321F" w:rsidRPr="00C34928">
        <w:rPr>
          <w:bCs/>
        </w:rPr>
        <w:t xml:space="preserve">paskelbė informaciją apie 2021–2022 TTT </w:t>
      </w:r>
      <w:r w:rsidR="00F8321F" w:rsidRPr="00056932">
        <w:rPr>
          <w:bCs/>
        </w:rPr>
        <w:t>galiojimo laikotarpiu</w:t>
      </w:r>
      <w:r w:rsidR="00F8321F">
        <w:rPr>
          <w:bCs/>
        </w:rPr>
        <w:t>i</w:t>
      </w:r>
      <w:r w:rsidR="00F8321F" w:rsidRPr="00056932">
        <w:rPr>
          <w:bCs/>
        </w:rPr>
        <w:t xml:space="preserve"> </w:t>
      </w:r>
      <w:r w:rsidR="00F8321F" w:rsidRPr="00C34928">
        <w:rPr>
          <w:bCs/>
        </w:rPr>
        <w:t xml:space="preserve">atnaujintus </w:t>
      </w:r>
      <w:r>
        <w:rPr>
          <w:bCs/>
        </w:rPr>
        <w:t>Infr</w:t>
      </w:r>
      <w:r w:rsidR="00C8451A">
        <w:rPr>
          <w:bCs/>
        </w:rPr>
        <w:t>os</w:t>
      </w:r>
      <w:r w:rsidRPr="00C34928">
        <w:rPr>
          <w:bCs/>
        </w:rPr>
        <w:t xml:space="preserve"> </w:t>
      </w:r>
      <w:r w:rsidR="00F8321F" w:rsidRPr="00C34928">
        <w:rPr>
          <w:bCs/>
        </w:rPr>
        <w:t xml:space="preserve">valdomuose GPĮ teikiamų paslaugų tarifus. Tarnyba palygino </w:t>
      </w:r>
      <w:r>
        <w:rPr>
          <w:bCs/>
        </w:rPr>
        <w:t>Infr</w:t>
      </w:r>
      <w:r w:rsidR="00C8451A">
        <w:rPr>
          <w:bCs/>
        </w:rPr>
        <w:t>os</w:t>
      </w:r>
      <w:r w:rsidRPr="00C34928">
        <w:rPr>
          <w:bCs/>
        </w:rPr>
        <w:t xml:space="preserve"> </w:t>
      </w:r>
      <w:r w:rsidR="00F8321F" w:rsidRPr="00C34928">
        <w:rPr>
          <w:bCs/>
        </w:rPr>
        <w:t>nustatytus 2021</w:t>
      </w:r>
      <w:r w:rsidR="00F8321F">
        <w:rPr>
          <w:bCs/>
        </w:rPr>
        <w:t>–</w:t>
      </w:r>
      <w:r w:rsidR="00F8321F" w:rsidRPr="00C34928">
        <w:rPr>
          <w:bCs/>
        </w:rPr>
        <w:t>2022 TTT galiojimo laikotarpiu</w:t>
      </w:r>
      <w:r w:rsidR="00F8321F">
        <w:rPr>
          <w:bCs/>
        </w:rPr>
        <w:t>i</w:t>
      </w:r>
      <w:r w:rsidR="00F8321F" w:rsidRPr="00C34928">
        <w:rPr>
          <w:bCs/>
        </w:rPr>
        <w:t xml:space="preserve"> </w:t>
      </w:r>
      <w:r w:rsidR="00C8451A">
        <w:rPr>
          <w:bCs/>
        </w:rPr>
        <w:t>Infros</w:t>
      </w:r>
      <w:r w:rsidR="00C8451A" w:rsidRPr="00C34928">
        <w:rPr>
          <w:bCs/>
        </w:rPr>
        <w:t xml:space="preserve"> </w:t>
      </w:r>
      <w:r w:rsidR="00F8321F" w:rsidRPr="00C34928">
        <w:rPr>
          <w:bCs/>
        </w:rPr>
        <w:t xml:space="preserve">valdomuose GPĮ teikiamų </w:t>
      </w:r>
      <w:r w:rsidR="00F8321F">
        <w:rPr>
          <w:bCs/>
        </w:rPr>
        <w:t>„Naudojimasis geležinkelių paslaugų įrenginiui priskirtais stoties ir (ar) privažiuojamaisiais geležinkelio keliais vagonų varymui“</w:t>
      </w:r>
      <w:r w:rsidR="00F8321F">
        <w:rPr>
          <w:rStyle w:val="FootnoteReference"/>
          <w:bCs/>
        </w:rPr>
        <w:footnoteReference w:id="2"/>
      </w:r>
      <w:r w:rsidR="00F8321F">
        <w:rPr>
          <w:bCs/>
        </w:rPr>
        <w:t xml:space="preserve"> (toliau – Pirma paslauga) </w:t>
      </w:r>
      <w:r w:rsidR="00F8321F" w:rsidRPr="00C34928">
        <w:rPr>
          <w:bCs/>
        </w:rPr>
        <w:t xml:space="preserve">ir </w:t>
      </w:r>
      <w:r w:rsidR="00F8321F">
        <w:rPr>
          <w:bCs/>
        </w:rPr>
        <w:t>„Naudojimosi traukinių formavimo ir manevravimo įrenginiais</w:t>
      </w:r>
      <w:r w:rsidR="00F8321F">
        <w:rPr>
          <w:rStyle w:val="FootnoteReference"/>
          <w:bCs/>
        </w:rPr>
        <w:footnoteReference w:id="3"/>
      </w:r>
      <w:r w:rsidR="00F8321F">
        <w:rPr>
          <w:bCs/>
        </w:rPr>
        <w:t>“ (toliau – Antra paslauga)</w:t>
      </w:r>
      <w:r w:rsidR="00F8321F" w:rsidRPr="00C34928">
        <w:rPr>
          <w:bCs/>
        </w:rPr>
        <w:t xml:space="preserve"> paslaugų</w:t>
      </w:r>
      <w:r w:rsidR="00F8321F">
        <w:rPr>
          <w:bCs/>
        </w:rPr>
        <w:t xml:space="preserve"> (toliau </w:t>
      </w:r>
      <w:r w:rsidR="00443226">
        <w:rPr>
          <w:bCs/>
        </w:rPr>
        <w:t xml:space="preserve">Pirma paslauga ir Antra </w:t>
      </w:r>
      <w:r w:rsidR="00443226">
        <w:rPr>
          <w:bCs/>
        </w:rPr>
        <w:lastRenderedPageBreak/>
        <w:t xml:space="preserve">paslauga </w:t>
      </w:r>
      <w:r w:rsidR="00F8321F">
        <w:rPr>
          <w:bCs/>
        </w:rPr>
        <w:t>abi kartu – Paslaugos)</w:t>
      </w:r>
      <w:r w:rsidR="00F8321F" w:rsidRPr="00C34928">
        <w:rPr>
          <w:bCs/>
        </w:rPr>
        <w:t xml:space="preserve"> tarifus su</w:t>
      </w:r>
      <w:r w:rsidR="00F8321F">
        <w:rPr>
          <w:bCs/>
        </w:rPr>
        <w:t xml:space="preserve"> </w:t>
      </w:r>
      <w:r w:rsidR="00F8321F" w:rsidRPr="006564F6">
        <w:rPr>
          <w:color w:val="000000" w:themeColor="text1"/>
        </w:rPr>
        <w:t>2020</w:t>
      </w:r>
      <w:r w:rsidR="00F8321F">
        <w:rPr>
          <w:color w:val="000000" w:themeColor="text1"/>
        </w:rPr>
        <w:t>–</w:t>
      </w:r>
      <w:r w:rsidR="00F8321F" w:rsidRPr="006564F6">
        <w:rPr>
          <w:color w:val="000000" w:themeColor="text1"/>
        </w:rPr>
        <w:t xml:space="preserve">2021 </w:t>
      </w:r>
      <w:r w:rsidR="00F8321F" w:rsidRPr="00056932">
        <w:rPr>
          <w:color w:val="000000" w:themeColor="text1"/>
        </w:rPr>
        <w:t xml:space="preserve">m. </w:t>
      </w:r>
      <w:r w:rsidR="00F8321F" w:rsidRPr="001B03F2">
        <w:rPr>
          <w:color w:val="000000" w:themeColor="text1"/>
        </w:rPr>
        <w:t xml:space="preserve">tarnybinio traukinių tvarkaraščio (toliau </w:t>
      </w:r>
      <w:r w:rsidR="00F8321F" w:rsidRPr="00056932">
        <w:t>–</w:t>
      </w:r>
      <w:r w:rsidR="00F8321F">
        <w:t xml:space="preserve"> </w:t>
      </w:r>
      <w:r w:rsidR="00F8321F" w:rsidRPr="001B03F2">
        <w:rPr>
          <w:color w:val="000000" w:themeColor="text1"/>
        </w:rPr>
        <w:t>2020</w:t>
      </w:r>
      <w:r w:rsidR="00F8321F">
        <w:rPr>
          <w:color w:val="000000" w:themeColor="text1"/>
        </w:rPr>
        <w:t>–</w:t>
      </w:r>
      <w:r w:rsidR="00F8321F" w:rsidRPr="001B03F2">
        <w:rPr>
          <w:color w:val="000000" w:themeColor="text1"/>
        </w:rPr>
        <w:t>2021 TTT) galiojimo laikotarpiu</w:t>
      </w:r>
      <w:r w:rsidR="00F8321F">
        <w:rPr>
          <w:color w:val="000000" w:themeColor="text1"/>
        </w:rPr>
        <w:t>i</w:t>
      </w:r>
      <w:r w:rsidR="00F8321F" w:rsidRPr="001B03F2">
        <w:rPr>
          <w:color w:val="000000" w:themeColor="text1"/>
        </w:rPr>
        <w:t xml:space="preserve"> </w:t>
      </w:r>
      <w:r w:rsidR="00C8451A">
        <w:rPr>
          <w:color w:val="000000" w:themeColor="text1"/>
        </w:rPr>
        <w:t>Infr</w:t>
      </w:r>
      <w:r w:rsidR="00C8451A" w:rsidRPr="001B03F2">
        <w:rPr>
          <w:color w:val="000000" w:themeColor="text1"/>
        </w:rPr>
        <w:t>o</w:t>
      </w:r>
      <w:r w:rsidR="00C8451A">
        <w:rPr>
          <w:color w:val="000000" w:themeColor="text1"/>
        </w:rPr>
        <w:t>s</w:t>
      </w:r>
      <w:r w:rsidR="00C8451A" w:rsidRPr="001B03F2">
        <w:rPr>
          <w:color w:val="000000" w:themeColor="text1"/>
        </w:rPr>
        <w:t xml:space="preserve"> </w:t>
      </w:r>
      <w:r w:rsidR="00F8321F">
        <w:rPr>
          <w:color w:val="000000" w:themeColor="text1"/>
        </w:rPr>
        <w:t>taikytais</w:t>
      </w:r>
      <w:r w:rsidR="00F8321F" w:rsidRPr="00C34928">
        <w:rPr>
          <w:color w:val="000000" w:themeColor="text1"/>
        </w:rPr>
        <w:t xml:space="preserve"> </w:t>
      </w:r>
      <w:r w:rsidR="00F8321F">
        <w:rPr>
          <w:color w:val="000000" w:themeColor="text1"/>
        </w:rPr>
        <w:t>GPĮ</w:t>
      </w:r>
      <w:r w:rsidR="00F8321F" w:rsidRPr="00C34928">
        <w:rPr>
          <w:color w:val="000000" w:themeColor="text1"/>
        </w:rPr>
        <w:t xml:space="preserve"> teikiamų paslaugų tarif</w:t>
      </w:r>
      <w:r w:rsidR="00F8321F">
        <w:rPr>
          <w:color w:val="000000" w:themeColor="text1"/>
        </w:rPr>
        <w:t>ai</w:t>
      </w:r>
      <w:r w:rsidR="00F8321F" w:rsidRPr="00C34928">
        <w:rPr>
          <w:color w:val="000000" w:themeColor="text1"/>
        </w:rPr>
        <w:t>s</w:t>
      </w:r>
      <w:r w:rsidR="00F8321F" w:rsidRPr="00056932">
        <w:rPr>
          <w:rStyle w:val="FootnoteReference"/>
          <w:color w:val="000000" w:themeColor="text1"/>
        </w:rPr>
        <w:footnoteReference w:id="4"/>
      </w:r>
      <w:r w:rsidR="00F8321F">
        <w:rPr>
          <w:color w:val="000000" w:themeColor="text1"/>
        </w:rPr>
        <w:t>. Palyginimo metu</w:t>
      </w:r>
      <w:r w:rsidR="00F8321F" w:rsidRPr="00C34928">
        <w:rPr>
          <w:bCs/>
        </w:rPr>
        <w:t>, nustatyt</w:t>
      </w:r>
      <w:r w:rsidR="00F8321F">
        <w:rPr>
          <w:bCs/>
        </w:rPr>
        <w:t>a</w:t>
      </w:r>
      <w:r w:rsidR="00F8321F" w:rsidRPr="00C34928">
        <w:rPr>
          <w:bCs/>
        </w:rPr>
        <w:t>, kad Pirmos paslaugos teikimo tarifas padi</w:t>
      </w:r>
      <w:r w:rsidR="000E61C5">
        <w:rPr>
          <w:bCs/>
        </w:rPr>
        <w:t>dintas</w:t>
      </w:r>
      <w:r w:rsidR="00F8321F" w:rsidRPr="00C34928">
        <w:rPr>
          <w:bCs/>
        </w:rPr>
        <w:t xml:space="preserve"> 261,22 proc.</w:t>
      </w:r>
      <w:r w:rsidR="00F8321F">
        <w:rPr>
          <w:bCs/>
        </w:rPr>
        <w:t xml:space="preserve"> (nuo 0,49 Eur be PVM iki 1,77 Eur be PVM</w:t>
      </w:r>
      <w:r w:rsidR="00F8321F" w:rsidDel="00581F9F">
        <w:rPr>
          <w:bCs/>
        </w:rPr>
        <w:t xml:space="preserve"> </w:t>
      </w:r>
      <w:r w:rsidR="00F8321F">
        <w:rPr>
          <w:bCs/>
        </w:rPr>
        <w:t>), o</w:t>
      </w:r>
      <w:r w:rsidR="00F8321F" w:rsidRPr="00C34928">
        <w:rPr>
          <w:bCs/>
        </w:rPr>
        <w:t xml:space="preserve"> Antros paslaugos teikimo tarifas padid</w:t>
      </w:r>
      <w:r w:rsidR="000E61C5">
        <w:rPr>
          <w:bCs/>
        </w:rPr>
        <w:t>intas</w:t>
      </w:r>
      <w:r w:rsidR="00F8321F" w:rsidRPr="00C34928">
        <w:rPr>
          <w:bCs/>
        </w:rPr>
        <w:t xml:space="preserve"> 43,2 proc.</w:t>
      </w:r>
      <w:r w:rsidR="00F8321F">
        <w:rPr>
          <w:bCs/>
        </w:rPr>
        <w:t xml:space="preserve"> (nuo 2,50 Eur be PVM iki 3,58 Eur be PVM).</w:t>
      </w:r>
      <w:r w:rsidR="00F8321F" w:rsidRPr="00C34928">
        <w:rPr>
          <w:bCs/>
        </w:rPr>
        <w:t xml:space="preserve"> </w:t>
      </w:r>
    </w:p>
    <w:p w14:paraId="320EA306" w14:textId="740BA1C8" w:rsidR="00F8321F" w:rsidRPr="003A7383" w:rsidRDefault="00F8321F" w:rsidP="00F8321F">
      <w:pPr>
        <w:pStyle w:val="ListParagraph"/>
        <w:numPr>
          <w:ilvl w:val="0"/>
          <w:numId w:val="15"/>
        </w:numPr>
        <w:tabs>
          <w:tab w:val="left" w:pos="993"/>
        </w:tabs>
        <w:ind w:left="0" w:firstLine="720"/>
        <w:contextualSpacing w:val="0"/>
        <w:jc w:val="both"/>
        <w:rPr>
          <w:b/>
          <w:bCs/>
        </w:rPr>
      </w:pPr>
      <w:r w:rsidRPr="00C34928">
        <w:t xml:space="preserve">Tarnyba  </w:t>
      </w:r>
      <w:r w:rsidRPr="00C34928">
        <w:rPr>
          <w:rFonts w:eastAsia="NSimSun"/>
          <w:kern w:val="3"/>
          <w:lang w:eastAsia="zh-CN" w:bidi="hi-IN"/>
        </w:rPr>
        <w:t xml:space="preserve">2021 m. vasario 18 d. </w:t>
      </w:r>
      <w:r w:rsidRPr="002E7C33">
        <w:rPr>
          <w:rFonts w:eastAsia="NSimSun"/>
          <w:kern w:val="3"/>
          <w:lang w:eastAsia="zh-CN" w:bidi="hi-IN"/>
        </w:rPr>
        <w:t xml:space="preserve">raštu Nr. </w:t>
      </w:r>
      <w:r w:rsidRPr="00940222">
        <w:rPr>
          <w:rFonts w:eastAsia="NSimSun"/>
          <w:kern w:val="3"/>
          <w:lang w:eastAsia="zh-CN" w:bidi="hi-IN"/>
        </w:rPr>
        <w:t>(67.15Mr)1B-582</w:t>
      </w:r>
      <w:r w:rsidRPr="00056932">
        <w:rPr>
          <w:rFonts w:eastAsia="NSimSun"/>
          <w:kern w:val="3"/>
          <w:lang w:eastAsia="zh-CN" w:bidi="hi-IN"/>
        </w:rPr>
        <w:t xml:space="preserve"> kreipėsi į </w:t>
      </w:r>
      <w:r w:rsidR="00C8451A">
        <w:rPr>
          <w:rFonts w:eastAsia="NSimSun"/>
          <w:kern w:val="3"/>
          <w:lang w:eastAsia="zh-CN" w:bidi="hi-IN"/>
        </w:rPr>
        <w:t>Infrą</w:t>
      </w:r>
      <w:r w:rsidRPr="00056932">
        <w:rPr>
          <w:rFonts w:eastAsia="NSimSun"/>
          <w:kern w:val="3"/>
          <w:lang w:eastAsia="zh-CN" w:bidi="hi-IN"/>
        </w:rPr>
        <w:t xml:space="preserve">, prašydama </w:t>
      </w:r>
      <w:r w:rsidRPr="001B03F2">
        <w:t>pateikti informaciją</w:t>
      </w:r>
      <w:r>
        <w:t>,</w:t>
      </w:r>
      <w:r w:rsidRPr="00C34928">
        <w:t xml:space="preserve"> </w:t>
      </w:r>
      <w:r>
        <w:t xml:space="preserve">pagrindžiančią </w:t>
      </w:r>
      <w:r w:rsidRPr="00AE479B">
        <w:t>2021–2022 TTT galiojimo laikotarpiui</w:t>
      </w:r>
      <w:r>
        <w:t xml:space="preserve"> nustatytus Paslaugų tarifus, t. y. </w:t>
      </w:r>
      <w:r w:rsidRPr="00C34928">
        <w:t xml:space="preserve">kurio laikotarpio duomenys buvo vertinami </w:t>
      </w:r>
      <w:r>
        <w:t>ir</w:t>
      </w:r>
      <w:r w:rsidRPr="00C34928">
        <w:t xml:space="preserve"> paaiškin</w:t>
      </w:r>
      <w:r>
        <w:t>imus</w:t>
      </w:r>
      <w:r w:rsidRPr="00C34928">
        <w:t xml:space="preserve"> dėl</w:t>
      </w:r>
      <w:r>
        <w:t xml:space="preserve"> šių</w:t>
      </w:r>
      <w:r w:rsidRPr="00C34928">
        <w:t xml:space="preserve"> tarifų skaičiavimo metodikos ir (ar) modelio pasikeitimo, lėmusio </w:t>
      </w:r>
      <w:r>
        <w:t>P</w:t>
      </w:r>
      <w:r w:rsidRPr="00C34928">
        <w:t xml:space="preserve">aslaugų tarifų </w:t>
      </w:r>
      <w:r w:rsidR="00CF67E3">
        <w:t>didinimą</w:t>
      </w:r>
      <w:r>
        <w:t xml:space="preserve">. Tarnyba taip pat paprašė pateikti </w:t>
      </w:r>
      <w:r w:rsidRPr="009C652B">
        <w:t xml:space="preserve">apskaitos informaciją, </w:t>
      </w:r>
      <w:r>
        <w:t>susijusią su išlaidų</w:t>
      </w:r>
      <w:r>
        <w:rPr>
          <w:rStyle w:val="FootnoteReference"/>
        </w:rPr>
        <w:footnoteReference w:id="5"/>
      </w:r>
      <w:r>
        <w:t xml:space="preserve"> priskyrimu Paslaugoms bei šių suteiktų </w:t>
      </w:r>
      <w:r w:rsidR="00D234A6">
        <w:rPr>
          <w:rFonts w:eastAsia="NSimSun"/>
          <w:bCs/>
          <w:kern w:val="3"/>
          <w:lang w:eastAsia="zh-CN" w:bidi="hi-IN"/>
        </w:rPr>
        <w:t>P</w:t>
      </w:r>
      <w:r w:rsidRPr="009C652B">
        <w:rPr>
          <w:rFonts w:eastAsia="NSimSun"/>
          <w:bCs/>
          <w:kern w:val="3"/>
          <w:lang w:eastAsia="zh-CN" w:bidi="hi-IN"/>
        </w:rPr>
        <w:t>aslaugų kiekius, išskiriant kiek kiekvienos paslaugos buvo suteikt</w:t>
      </w:r>
      <w:r>
        <w:rPr>
          <w:rFonts w:eastAsia="NSimSun"/>
          <w:bCs/>
          <w:kern w:val="3"/>
          <w:lang w:eastAsia="zh-CN" w:bidi="hi-IN"/>
        </w:rPr>
        <w:t>a</w:t>
      </w:r>
      <w:r w:rsidRPr="009C652B">
        <w:rPr>
          <w:rFonts w:eastAsia="NSimSun"/>
          <w:bCs/>
          <w:kern w:val="3"/>
          <w:lang w:eastAsia="zh-CN" w:bidi="hi-IN"/>
        </w:rPr>
        <w:t xml:space="preserve"> konkrečiai geležinkelio įmonei (vežėjui)</w:t>
      </w:r>
      <w:r>
        <w:rPr>
          <w:rFonts w:eastAsia="NSimSun"/>
          <w:bCs/>
          <w:kern w:val="3"/>
          <w:lang w:eastAsia="zh-CN" w:bidi="hi-IN"/>
        </w:rPr>
        <w:t xml:space="preserve"> (toliau – vežėjas)</w:t>
      </w:r>
      <w:r w:rsidRPr="009C652B">
        <w:rPr>
          <w:rFonts w:eastAsia="NSimSun"/>
          <w:bCs/>
          <w:kern w:val="3"/>
          <w:lang w:eastAsia="zh-CN" w:bidi="hi-IN"/>
        </w:rPr>
        <w:t xml:space="preserve"> ar kitai įmonei, nurodytai Kodekso 28 straipsnio 3 dalyje</w:t>
      </w:r>
      <w:r>
        <w:rPr>
          <w:rFonts w:eastAsia="NSimSun"/>
          <w:bCs/>
          <w:kern w:val="3"/>
          <w:lang w:eastAsia="zh-CN" w:bidi="hi-IN"/>
        </w:rPr>
        <w:t xml:space="preserve"> (toliau – įmonė) (toliau </w:t>
      </w:r>
      <w:r w:rsidR="0050043C">
        <w:rPr>
          <w:rFonts w:eastAsia="NSimSun"/>
          <w:bCs/>
          <w:kern w:val="3"/>
          <w:lang w:eastAsia="zh-CN" w:bidi="hi-IN"/>
        </w:rPr>
        <w:t xml:space="preserve">vežėjas ir įmonė </w:t>
      </w:r>
      <w:r>
        <w:rPr>
          <w:rFonts w:eastAsia="NSimSun"/>
          <w:bCs/>
          <w:kern w:val="3"/>
          <w:lang w:eastAsia="zh-CN" w:bidi="hi-IN"/>
        </w:rPr>
        <w:t>ab</w:t>
      </w:r>
      <w:r w:rsidR="0050043C">
        <w:rPr>
          <w:rFonts w:eastAsia="NSimSun"/>
          <w:bCs/>
          <w:kern w:val="3"/>
          <w:lang w:eastAsia="zh-CN" w:bidi="hi-IN"/>
        </w:rPr>
        <w:t>u</w:t>
      </w:r>
      <w:r>
        <w:rPr>
          <w:rFonts w:eastAsia="NSimSun"/>
          <w:bCs/>
          <w:kern w:val="3"/>
          <w:lang w:eastAsia="zh-CN" w:bidi="hi-IN"/>
        </w:rPr>
        <w:t xml:space="preserve"> kartu – pareiškėjai)</w:t>
      </w:r>
      <w:r w:rsidRPr="009C652B">
        <w:t xml:space="preserve">. </w:t>
      </w:r>
    </w:p>
    <w:p w14:paraId="7690DE37" w14:textId="599FD0A3" w:rsidR="00F8321F" w:rsidRPr="001F564D" w:rsidRDefault="00C8451A" w:rsidP="00F8321F">
      <w:pPr>
        <w:pStyle w:val="ListParagraph"/>
        <w:numPr>
          <w:ilvl w:val="0"/>
          <w:numId w:val="15"/>
        </w:numPr>
        <w:tabs>
          <w:tab w:val="left" w:pos="993"/>
        </w:tabs>
        <w:ind w:left="0" w:firstLine="720"/>
        <w:contextualSpacing w:val="0"/>
        <w:jc w:val="both"/>
        <w:rPr>
          <w:b/>
          <w:bCs/>
        </w:rPr>
      </w:pPr>
      <w:r>
        <w:rPr>
          <w:bCs/>
        </w:rPr>
        <w:t>Infra</w:t>
      </w:r>
      <w:r w:rsidR="00F8321F" w:rsidRPr="002D5633">
        <w:rPr>
          <w:bCs/>
        </w:rPr>
        <w:t xml:space="preserve"> </w:t>
      </w:r>
      <w:r w:rsidR="00F8321F" w:rsidRPr="000251CF">
        <w:rPr>
          <w:bCs/>
        </w:rPr>
        <w:t xml:space="preserve">Raštu </w:t>
      </w:r>
      <w:r w:rsidR="00F8321F" w:rsidRPr="000251CF">
        <w:rPr>
          <w:rFonts w:eastAsia="NSimSun"/>
          <w:bCs/>
          <w:kern w:val="3"/>
          <w:lang w:eastAsia="zh-CN" w:bidi="hi-IN"/>
        </w:rPr>
        <w:t>Nr. SD-PAJ(LGI)-27</w:t>
      </w:r>
      <w:r w:rsidR="00F8321F" w:rsidRPr="004D7D8E">
        <w:rPr>
          <w:rFonts w:eastAsia="NSimSun"/>
          <w:bCs/>
          <w:kern w:val="3"/>
          <w:lang w:eastAsia="zh-CN" w:bidi="hi-IN"/>
        </w:rPr>
        <w:t xml:space="preserve"> </w:t>
      </w:r>
      <w:r w:rsidR="00F8321F" w:rsidRPr="00862CF7">
        <w:rPr>
          <w:rFonts w:eastAsia="NSimSun"/>
          <w:bCs/>
          <w:kern w:val="3"/>
          <w:lang w:eastAsia="zh-CN" w:bidi="hi-IN"/>
        </w:rPr>
        <w:t>Tarnybai nurodė, kad</w:t>
      </w:r>
      <w:r w:rsidR="00F8321F">
        <w:rPr>
          <w:rFonts w:eastAsia="NSimSun"/>
          <w:bCs/>
          <w:kern w:val="3"/>
          <w:lang w:eastAsia="zh-CN" w:bidi="hi-IN"/>
        </w:rPr>
        <w:t>,</w:t>
      </w:r>
      <w:r w:rsidR="00F8321F" w:rsidRPr="001F564D">
        <w:rPr>
          <w:rFonts w:eastAsia="NSimSun"/>
          <w:bCs/>
          <w:kern w:val="3"/>
          <w:lang w:eastAsia="zh-CN" w:bidi="hi-IN"/>
        </w:rPr>
        <w:t xml:space="preserve"> </w:t>
      </w:r>
      <w:r w:rsidR="00F8321F" w:rsidRPr="00E60DF6">
        <w:rPr>
          <w:rFonts w:eastAsia="NSimSun"/>
          <w:bCs/>
          <w:kern w:val="3"/>
          <w:lang w:eastAsia="zh-CN" w:bidi="hi-IN"/>
        </w:rPr>
        <w:t>nustatyda</w:t>
      </w:r>
      <w:r w:rsidR="00F8321F" w:rsidRPr="00AE479B">
        <w:rPr>
          <w:rFonts w:eastAsia="NSimSun"/>
          <w:bCs/>
          <w:kern w:val="3"/>
          <w:lang w:eastAsia="zh-CN" w:bidi="hi-IN"/>
        </w:rPr>
        <w:t>mas 2021</w:t>
      </w:r>
      <w:r w:rsidR="00F8321F">
        <w:rPr>
          <w:rFonts w:eastAsia="NSimSun"/>
          <w:bCs/>
          <w:kern w:val="3"/>
          <w:lang w:eastAsia="zh-CN" w:bidi="hi-IN"/>
        </w:rPr>
        <w:t>–</w:t>
      </w:r>
      <w:r w:rsidR="00F8321F" w:rsidRPr="00AE479B">
        <w:rPr>
          <w:rFonts w:eastAsia="NSimSun"/>
          <w:bCs/>
          <w:kern w:val="3"/>
          <w:lang w:eastAsia="zh-CN" w:bidi="hi-IN"/>
        </w:rPr>
        <w:t>2022 TTT galiojimo laikotarpiu</w:t>
      </w:r>
      <w:r w:rsidR="00F8321F">
        <w:rPr>
          <w:rFonts w:eastAsia="NSimSun"/>
          <w:bCs/>
          <w:kern w:val="3"/>
          <w:lang w:eastAsia="zh-CN" w:bidi="hi-IN"/>
        </w:rPr>
        <w:t>i</w:t>
      </w:r>
      <w:r w:rsidR="00F8321F" w:rsidRPr="00AE479B">
        <w:rPr>
          <w:rFonts w:eastAsia="NSimSun"/>
          <w:bCs/>
          <w:kern w:val="3"/>
          <w:lang w:eastAsia="zh-CN" w:bidi="hi-IN"/>
        </w:rPr>
        <w:t xml:space="preserve"> </w:t>
      </w:r>
      <w:r w:rsidR="00F8321F">
        <w:rPr>
          <w:rFonts w:eastAsia="NSimSun"/>
          <w:bCs/>
          <w:kern w:val="3"/>
          <w:lang w:eastAsia="zh-CN" w:bidi="hi-IN"/>
        </w:rPr>
        <w:t>P</w:t>
      </w:r>
      <w:r w:rsidR="00F8321F" w:rsidRPr="001F564D">
        <w:rPr>
          <w:rFonts w:eastAsia="NSimSun"/>
          <w:bCs/>
          <w:kern w:val="3"/>
          <w:lang w:eastAsia="zh-CN" w:bidi="hi-IN"/>
        </w:rPr>
        <w:t>aslaugų tarifus</w:t>
      </w:r>
      <w:r w:rsidR="00F8321F">
        <w:rPr>
          <w:rFonts w:eastAsia="NSimSun"/>
          <w:bCs/>
          <w:kern w:val="3"/>
          <w:lang w:eastAsia="zh-CN" w:bidi="hi-IN"/>
        </w:rPr>
        <w:t>,</w:t>
      </w:r>
      <w:r w:rsidR="00F8321F" w:rsidRPr="001F564D">
        <w:rPr>
          <w:rFonts w:eastAsia="NSimSun"/>
          <w:bCs/>
          <w:kern w:val="3"/>
          <w:lang w:eastAsia="zh-CN" w:bidi="hi-IN"/>
        </w:rPr>
        <w:t xml:space="preserve"> vadovavosi 2020</w:t>
      </w:r>
      <w:r w:rsidR="00F8321F" w:rsidRPr="00A53D0A">
        <w:rPr>
          <w:rFonts w:eastAsia="NSimSun"/>
          <w:bCs/>
          <w:kern w:val="3"/>
          <w:lang w:eastAsia="zh-CN" w:bidi="hi-IN"/>
        </w:rPr>
        <w:t> m. sausio</w:t>
      </w:r>
      <w:r w:rsidR="00F8321F">
        <w:rPr>
          <w:rFonts w:eastAsia="NSimSun"/>
          <w:bCs/>
          <w:kern w:val="3"/>
          <w:lang w:eastAsia="zh-CN" w:bidi="hi-IN"/>
        </w:rPr>
        <w:t xml:space="preserve"> 1 d. </w:t>
      </w:r>
      <w:r w:rsidR="00F8321F" w:rsidRPr="00A53D0A">
        <w:rPr>
          <w:rFonts w:eastAsia="NSimSun"/>
          <w:bCs/>
          <w:kern w:val="3"/>
          <w:lang w:eastAsia="zh-CN" w:bidi="hi-IN"/>
        </w:rPr>
        <w:t>–</w:t>
      </w:r>
      <w:r w:rsidR="00F8321F">
        <w:rPr>
          <w:rFonts w:eastAsia="NSimSun"/>
          <w:bCs/>
          <w:kern w:val="3"/>
          <w:lang w:eastAsia="zh-CN" w:bidi="hi-IN"/>
        </w:rPr>
        <w:t xml:space="preserve"> 2020 m. </w:t>
      </w:r>
      <w:r w:rsidR="00F8321F" w:rsidRPr="00A53D0A">
        <w:rPr>
          <w:rFonts w:eastAsia="NSimSun"/>
          <w:bCs/>
          <w:kern w:val="3"/>
          <w:lang w:eastAsia="zh-CN" w:bidi="hi-IN"/>
        </w:rPr>
        <w:t xml:space="preserve">rugsėjo </w:t>
      </w:r>
      <w:r w:rsidR="00F8321F">
        <w:rPr>
          <w:rFonts w:eastAsia="NSimSun"/>
          <w:bCs/>
          <w:kern w:val="3"/>
          <w:lang w:eastAsia="zh-CN" w:bidi="hi-IN"/>
        </w:rPr>
        <w:t>30 d.</w:t>
      </w:r>
      <w:r w:rsidR="00F8321F" w:rsidRPr="00A53D0A">
        <w:rPr>
          <w:rFonts w:eastAsia="NSimSun"/>
          <w:bCs/>
          <w:kern w:val="3"/>
          <w:lang w:eastAsia="zh-CN" w:bidi="hi-IN"/>
        </w:rPr>
        <w:t xml:space="preserve"> (toliau – Ataskaitinis laikotarpis) faktiniais verslo valdymo ir apskaitos sistemos SAP duomenų apdorojimo ir verslo valdymo modul</w:t>
      </w:r>
      <w:r w:rsidR="00F8321F">
        <w:rPr>
          <w:rFonts w:eastAsia="NSimSun"/>
          <w:bCs/>
          <w:kern w:val="3"/>
          <w:lang w:eastAsia="zh-CN" w:bidi="hi-IN"/>
        </w:rPr>
        <w:t>yje</w:t>
      </w:r>
      <w:r w:rsidR="00F8321F" w:rsidRPr="00A53D0A">
        <w:rPr>
          <w:rFonts w:eastAsia="NSimSun"/>
          <w:bCs/>
          <w:kern w:val="3"/>
          <w:lang w:eastAsia="zh-CN" w:bidi="hi-IN"/>
        </w:rPr>
        <w:t xml:space="preserve"> SAP CO-PA </w:t>
      </w:r>
      <w:r w:rsidR="00F8321F">
        <w:rPr>
          <w:rFonts w:eastAsia="NSimSun"/>
          <w:bCs/>
          <w:kern w:val="3"/>
          <w:lang w:eastAsia="zh-CN" w:bidi="hi-IN"/>
        </w:rPr>
        <w:t xml:space="preserve">(toliau – SAP) </w:t>
      </w:r>
      <w:r w:rsidR="00F8321F" w:rsidRPr="00A53D0A">
        <w:rPr>
          <w:rFonts w:eastAsia="NSimSun"/>
          <w:bCs/>
          <w:kern w:val="3"/>
          <w:lang w:eastAsia="zh-CN" w:bidi="hi-IN"/>
        </w:rPr>
        <w:t xml:space="preserve">apskaitytais duomenimis, t. y. </w:t>
      </w:r>
      <w:r w:rsidR="00F8321F">
        <w:rPr>
          <w:rFonts w:eastAsia="NSimSun"/>
          <w:bCs/>
          <w:kern w:val="3"/>
          <w:lang w:eastAsia="zh-CN" w:bidi="hi-IN"/>
        </w:rPr>
        <w:t>Ataskaitinio</w:t>
      </w:r>
      <w:r w:rsidR="00F8321F" w:rsidRPr="00A53D0A">
        <w:rPr>
          <w:rFonts w:eastAsia="NSimSun"/>
          <w:bCs/>
          <w:kern w:val="3"/>
          <w:lang w:eastAsia="zh-CN" w:bidi="hi-IN"/>
        </w:rPr>
        <w:t xml:space="preserve"> laikotarpio </w:t>
      </w:r>
      <w:r w:rsidR="00F8321F">
        <w:rPr>
          <w:rFonts w:eastAsia="NSimSun"/>
          <w:bCs/>
          <w:kern w:val="3"/>
          <w:lang w:eastAsia="zh-CN" w:bidi="hi-IN"/>
        </w:rPr>
        <w:t>P</w:t>
      </w:r>
      <w:r w:rsidR="00F8321F" w:rsidRPr="001F564D">
        <w:rPr>
          <w:rFonts w:eastAsia="NSimSun"/>
          <w:bCs/>
          <w:kern w:val="3"/>
          <w:lang w:eastAsia="zh-CN" w:bidi="hi-IN"/>
        </w:rPr>
        <w:t xml:space="preserve">aslaugų </w:t>
      </w:r>
      <w:r w:rsidR="00F8321F" w:rsidRPr="00E60DF6">
        <w:rPr>
          <w:rFonts w:eastAsia="NSimSun"/>
          <w:bCs/>
          <w:kern w:val="3"/>
          <w:lang w:eastAsia="zh-CN" w:bidi="hi-IN"/>
        </w:rPr>
        <w:t xml:space="preserve">apskaičiuota </w:t>
      </w:r>
      <w:r w:rsidR="00F8321F" w:rsidRPr="00C27086">
        <w:rPr>
          <w:rFonts w:eastAsia="NSimSun"/>
          <w:bCs/>
          <w:kern w:val="3"/>
          <w:lang w:eastAsia="zh-CN" w:bidi="hi-IN"/>
        </w:rPr>
        <w:t xml:space="preserve">savikaina </w:t>
      </w:r>
      <w:r w:rsidR="00F8321F" w:rsidRPr="001F564D">
        <w:rPr>
          <w:rFonts w:eastAsia="NSimSun"/>
          <w:bCs/>
          <w:kern w:val="3"/>
          <w:lang w:eastAsia="zh-CN" w:bidi="hi-IN"/>
        </w:rPr>
        <w:t>ir suteikt</w:t>
      </w:r>
      <w:r w:rsidR="00F8321F" w:rsidRPr="00E60DF6">
        <w:rPr>
          <w:rFonts w:eastAsia="NSimSun"/>
          <w:bCs/>
          <w:kern w:val="3"/>
          <w:lang w:eastAsia="zh-CN" w:bidi="hi-IN"/>
        </w:rPr>
        <w:t>ų</w:t>
      </w:r>
      <w:r w:rsidR="00F8321F" w:rsidRPr="00C27086">
        <w:rPr>
          <w:rFonts w:eastAsia="NSimSun"/>
          <w:bCs/>
          <w:kern w:val="3"/>
          <w:lang w:eastAsia="zh-CN" w:bidi="hi-IN"/>
        </w:rPr>
        <w:t xml:space="preserve"> </w:t>
      </w:r>
      <w:r w:rsidR="00F8321F">
        <w:rPr>
          <w:rFonts w:eastAsia="NSimSun"/>
          <w:bCs/>
          <w:kern w:val="3"/>
          <w:lang w:eastAsia="zh-CN" w:bidi="hi-IN"/>
        </w:rPr>
        <w:t>P</w:t>
      </w:r>
      <w:r w:rsidR="00F8321F" w:rsidRPr="001F564D">
        <w:rPr>
          <w:rFonts w:eastAsia="NSimSun"/>
          <w:bCs/>
          <w:kern w:val="3"/>
          <w:lang w:eastAsia="zh-CN" w:bidi="hi-IN"/>
        </w:rPr>
        <w:t xml:space="preserve">aslaugų </w:t>
      </w:r>
      <w:r w:rsidR="00F8321F" w:rsidRPr="00E60DF6">
        <w:rPr>
          <w:rFonts w:eastAsia="NSimSun"/>
          <w:bCs/>
          <w:kern w:val="3"/>
          <w:lang w:eastAsia="zh-CN" w:bidi="hi-IN"/>
        </w:rPr>
        <w:t xml:space="preserve">apskaitytais </w:t>
      </w:r>
      <w:r w:rsidR="00F8321F" w:rsidRPr="00C27086">
        <w:rPr>
          <w:rFonts w:eastAsia="NSimSun"/>
          <w:bCs/>
          <w:kern w:val="3"/>
          <w:lang w:eastAsia="zh-CN" w:bidi="hi-IN"/>
        </w:rPr>
        <w:t>kiekiais.</w:t>
      </w:r>
      <w:r w:rsidR="00F8321F" w:rsidRPr="00D33346">
        <w:rPr>
          <w:rFonts w:eastAsia="NSimSun"/>
          <w:bCs/>
          <w:kern w:val="3"/>
          <w:lang w:eastAsia="zh-CN" w:bidi="hi-IN"/>
        </w:rPr>
        <w:t xml:space="preserve"> </w:t>
      </w:r>
      <w:r w:rsidR="00F8321F" w:rsidRPr="00F53014">
        <w:rPr>
          <w:rFonts w:eastAsia="NSimSun"/>
          <w:bCs/>
          <w:kern w:val="3"/>
          <w:lang w:eastAsia="zh-CN" w:bidi="hi-IN"/>
        </w:rPr>
        <w:t xml:space="preserve">Paslaugų tarifų apskaičiavimas buvo vykdomas vadovaujantis </w:t>
      </w:r>
      <w:r w:rsidR="00F8321F" w:rsidRPr="00BF0AF4">
        <w:rPr>
          <w:bCs/>
        </w:rPr>
        <w:t>Prieigos prie geležinkelių paslaugų įrenginių ir šiuose įrenginiuose teikiamų paslaugų kainodaros ir informacijos apie prieigą prie geležinkelių paslaugų įrenginių ir šiuose įrenginiuose teikiamų paslaugų viešinimo metodika</w:t>
      </w:r>
      <w:r w:rsidR="00F8321F" w:rsidRPr="00B6757E">
        <w:rPr>
          <w:rStyle w:val="FootnoteReference"/>
          <w:bCs/>
          <w:sz w:val="22"/>
          <w:szCs w:val="22"/>
        </w:rPr>
        <w:footnoteReference w:id="6"/>
      </w:r>
      <w:r w:rsidR="00F8321F">
        <w:rPr>
          <w:bCs/>
        </w:rPr>
        <w:t xml:space="preserve"> (toliau – GPĮ kainodaros metodika).</w:t>
      </w:r>
      <w:r w:rsidR="00F8321F">
        <w:rPr>
          <w:sz w:val="14"/>
          <w:szCs w:val="14"/>
        </w:rPr>
        <w:t xml:space="preserve"> </w:t>
      </w:r>
      <w:r>
        <w:rPr>
          <w:rFonts w:eastAsia="NSimSun"/>
          <w:bCs/>
          <w:kern w:val="3"/>
          <w:lang w:eastAsia="zh-CN" w:bidi="hi-IN"/>
        </w:rPr>
        <w:t>Infra</w:t>
      </w:r>
      <w:r w:rsidRPr="00D33346">
        <w:rPr>
          <w:rFonts w:eastAsia="NSimSun"/>
          <w:bCs/>
          <w:kern w:val="3"/>
          <w:lang w:eastAsia="zh-CN" w:bidi="hi-IN"/>
        </w:rPr>
        <w:t xml:space="preserve"> </w:t>
      </w:r>
      <w:r w:rsidR="00F8321F" w:rsidRPr="00D33346">
        <w:rPr>
          <w:rFonts w:eastAsia="NSimSun"/>
          <w:bCs/>
          <w:kern w:val="3"/>
          <w:lang w:eastAsia="zh-CN" w:bidi="hi-IN"/>
        </w:rPr>
        <w:t xml:space="preserve">pateikė informaciją, kiek ir kokių </w:t>
      </w:r>
      <w:r w:rsidR="00F8321F">
        <w:rPr>
          <w:rFonts w:eastAsia="NSimSun"/>
          <w:bCs/>
          <w:kern w:val="3"/>
          <w:lang w:eastAsia="zh-CN" w:bidi="hi-IN"/>
        </w:rPr>
        <w:t>P</w:t>
      </w:r>
      <w:r w:rsidR="00F8321F" w:rsidRPr="001F564D">
        <w:rPr>
          <w:rFonts w:eastAsia="NSimSun"/>
          <w:bCs/>
          <w:kern w:val="3"/>
          <w:lang w:eastAsia="zh-CN" w:bidi="hi-IN"/>
        </w:rPr>
        <w:t xml:space="preserve">aslaugų </w:t>
      </w:r>
      <w:r w:rsidR="00F8321F" w:rsidRPr="00E60DF6">
        <w:rPr>
          <w:rFonts w:eastAsia="NSimSun"/>
          <w:bCs/>
          <w:kern w:val="3"/>
          <w:lang w:eastAsia="zh-CN" w:bidi="hi-IN"/>
        </w:rPr>
        <w:t>Ataskaitiniu</w:t>
      </w:r>
      <w:r w:rsidR="00F8321F" w:rsidRPr="00C27086">
        <w:rPr>
          <w:rFonts w:eastAsia="NSimSun"/>
          <w:bCs/>
          <w:kern w:val="3"/>
          <w:lang w:eastAsia="zh-CN" w:bidi="hi-IN"/>
        </w:rPr>
        <w:t xml:space="preserve"> laikotarpiu suteikė </w:t>
      </w:r>
      <w:r w:rsidR="00F8321F" w:rsidRPr="004D7D8E">
        <w:rPr>
          <w:rFonts w:eastAsia="NSimSun"/>
          <w:bCs/>
          <w:kern w:val="3"/>
          <w:lang w:eastAsia="zh-CN" w:bidi="hi-IN"/>
        </w:rPr>
        <w:t>konkre</w:t>
      </w:r>
      <w:r w:rsidR="00F8321F">
        <w:rPr>
          <w:rFonts w:eastAsia="NSimSun"/>
          <w:bCs/>
          <w:kern w:val="3"/>
          <w:lang w:eastAsia="zh-CN" w:bidi="hi-IN"/>
        </w:rPr>
        <w:t xml:space="preserve">tiems pareiškėjams bei kiek </w:t>
      </w:r>
      <w:r w:rsidR="00F8321F" w:rsidRPr="00862CF7">
        <w:rPr>
          <w:rFonts w:eastAsia="NSimSun"/>
          <w:bCs/>
          <w:kern w:val="3"/>
          <w:lang w:eastAsia="zh-CN" w:bidi="hi-IN"/>
        </w:rPr>
        <w:t xml:space="preserve">Ataskaitiniu laikotarpiu suteiktoms </w:t>
      </w:r>
      <w:r w:rsidR="00F8321F">
        <w:rPr>
          <w:rFonts w:eastAsia="NSimSun"/>
          <w:bCs/>
          <w:kern w:val="3"/>
          <w:lang w:eastAsia="zh-CN" w:bidi="hi-IN"/>
        </w:rPr>
        <w:t>P</w:t>
      </w:r>
      <w:r w:rsidR="00F8321F" w:rsidRPr="001F564D">
        <w:rPr>
          <w:rFonts w:eastAsia="NSimSun"/>
          <w:bCs/>
          <w:kern w:val="3"/>
          <w:lang w:eastAsia="zh-CN" w:bidi="hi-IN"/>
        </w:rPr>
        <w:t xml:space="preserve">aslaugoms </w:t>
      </w:r>
      <w:r w:rsidR="00F8321F">
        <w:rPr>
          <w:rFonts w:eastAsia="NSimSun"/>
          <w:bCs/>
          <w:kern w:val="3"/>
          <w:lang w:eastAsia="zh-CN" w:bidi="hi-IN"/>
        </w:rPr>
        <w:t xml:space="preserve">priskirta </w:t>
      </w:r>
      <w:r w:rsidR="00F8321F" w:rsidRPr="00E60DF6">
        <w:rPr>
          <w:rFonts w:eastAsia="NSimSun"/>
          <w:bCs/>
          <w:kern w:val="3"/>
          <w:lang w:eastAsia="zh-CN" w:bidi="hi-IN"/>
        </w:rPr>
        <w:t xml:space="preserve">išlaidų </w:t>
      </w:r>
      <w:r w:rsidR="00F8321F" w:rsidRPr="00C27086">
        <w:rPr>
          <w:rFonts w:eastAsia="NSimSun"/>
          <w:bCs/>
          <w:kern w:val="3"/>
          <w:lang w:eastAsia="zh-CN" w:bidi="hi-IN"/>
        </w:rPr>
        <w:t>pagal atskiras išlaidų grupes</w:t>
      </w:r>
      <w:r w:rsidR="00F8321F" w:rsidRPr="00D33346">
        <w:rPr>
          <w:rFonts w:eastAsia="NSimSun"/>
          <w:bCs/>
          <w:kern w:val="3"/>
          <w:lang w:eastAsia="zh-CN" w:bidi="hi-IN"/>
        </w:rPr>
        <w:t xml:space="preserve"> </w:t>
      </w:r>
      <w:r w:rsidR="00F8321F">
        <w:rPr>
          <w:rFonts w:eastAsia="NSimSun"/>
          <w:bCs/>
          <w:kern w:val="3"/>
          <w:lang w:eastAsia="zh-CN" w:bidi="hi-IN"/>
        </w:rPr>
        <w:t>(darbo užmokesčio, medžiagų, kuro, elektros, nusidėvėjimo ir kitų išlaidų).</w:t>
      </w:r>
    </w:p>
    <w:p w14:paraId="258A8126" w14:textId="7A25530D" w:rsidR="00F8321F" w:rsidRPr="006216FC" w:rsidRDefault="00F8321F" w:rsidP="00F8321F">
      <w:pPr>
        <w:pStyle w:val="ListParagraph"/>
        <w:numPr>
          <w:ilvl w:val="0"/>
          <w:numId w:val="15"/>
        </w:numPr>
        <w:tabs>
          <w:tab w:val="left" w:pos="993"/>
        </w:tabs>
        <w:ind w:left="0" w:firstLine="720"/>
        <w:jc w:val="both"/>
        <w:rPr>
          <w:b/>
          <w:bCs/>
        </w:rPr>
      </w:pPr>
      <w:r w:rsidRPr="00E60DF6">
        <w:rPr>
          <w:rFonts w:eastAsia="NSimSun"/>
          <w:bCs/>
          <w:kern w:val="3"/>
          <w:lang w:eastAsia="zh-CN" w:bidi="hi-IN"/>
        </w:rPr>
        <w:t xml:space="preserve">Tarnyba, įvertinusi </w:t>
      </w:r>
      <w:r w:rsidR="00C8451A">
        <w:rPr>
          <w:rFonts w:eastAsia="NSimSun"/>
          <w:bCs/>
          <w:kern w:val="3"/>
          <w:lang w:eastAsia="zh-CN" w:bidi="hi-IN"/>
        </w:rPr>
        <w:t>Infros</w:t>
      </w:r>
      <w:r w:rsidR="00C8451A" w:rsidRPr="000251CF">
        <w:rPr>
          <w:bCs/>
        </w:rPr>
        <w:t xml:space="preserve"> </w:t>
      </w:r>
      <w:r w:rsidRPr="000251CF">
        <w:rPr>
          <w:bCs/>
        </w:rPr>
        <w:t xml:space="preserve">Rašte </w:t>
      </w:r>
      <w:r w:rsidRPr="000251CF">
        <w:rPr>
          <w:rFonts w:eastAsia="NSimSun"/>
          <w:bCs/>
          <w:kern w:val="3"/>
          <w:lang w:eastAsia="zh-CN" w:bidi="hi-IN"/>
        </w:rPr>
        <w:t>Nr. SD-PAJ(LGI)-27</w:t>
      </w:r>
      <w:r w:rsidRPr="001F564D">
        <w:rPr>
          <w:rFonts w:eastAsia="NSimSun"/>
          <w:bCs/>
          <w:kern w:val="3"/>
          <w:lang w:eastAsia="zh-CN" w:bidi="hi-IN"/>
        </w:rPr>
        <w:t xml:space="preserve"> </w:t>
      </w:r>
      <w:r w:rsidRPr="00E60DF6">
        <w:rPr>
          <w:rFonts w:eastAsia="NSimSun"/>
          <w:bCs/>
          <w:kern w:val="3"/>
          <w:lang w:eastAsia="zh-CN" w:bidi="hi-IN"/>
        </w:rPr>
        <w:t>pateikt</w:t>
      </w:r>
      <w:r>
        <w:rPr>
          <w:rFonts w:eastAsia="NSimSun"/>
          <w:bCs/>
          <w:kern w:val="3"/>
          <w:lang w:eastAsia="zh-CN" w:bidi="hi-IN"/>
        </w:rPr>
        <w:t>ą</w:t>
      </w:r>
      <w:r w:rsidRPr="00E60DF6">
        <w:rPr>
          <w:rFonts w:eastAsia="NSimSun"/>
          <w:bCs/>
          <w:kern w:val="3"/>
          <w:lang w:eastAsia="zh-CN" w:bidi="hi-IN"/>
        </w:rPr>
        <w:t xml:space="preserve"> informaciją</w:t>
      </w:r>
      <w:r w:rsidRPr="00C27086">
        <w:rPr>
          <w:rFonts w:eastAsia="NSimSun"/>
          <w:bCs/>
          <w:kern w:val="3"/>
          <w:lang w:eastAsia="zh-CN" w:bidi="hi-IN"/>
        </w:rPr>
        <w:t>,</w:t>
      </w:r>
      <w:r w:rsidRPr="00D33346">
        <w:rPr>
          <w:rFonts w:eastAsia="NSimSun"/>
          <w:bCs/>
          <w:kern w:val="3"/>
          <w:lang w:eastAsia="zh-CN" w:bidi="hi-IN"/>
        </w:rPr>
        <w:t xml:space="preserve"> </w:t>
      </w:r>
      <w:r w:rsidRPr="001F564D">
        <w:rPr>
          <w:rFonts w:eastAsia="NSimSun"/>
          <w:bCs/>
          <w:kern w:val="3"/>
          <w:lang w:eastAsia="zh-CN" w:bidi="hi-IN"/>
        </w:rPr>
        <w:t xml:space="preserve">nustatė, kad </w:t>
      </w:r>
      <w:r w:rsidR="00F92937">
        <w:rPr>
          <w:rFonts w:eastAsia="NSimSun"/>
          <w:bCs/>
          <w:kern w:val="3"/>
          <w:lang w:eastAsia="zh-CN" w:bidi="hi-IN"/>
        </w:rPr>
        <w:t>Infra</w:t>
      </w:r>
      <w:r w:rsidR="00F92937" w:rsidRPr="001F564D">
        <w:rPr>
          <w:rFonts w:eastAsia="NSimSun"/>
          <w:bCs/>
          <w:kern w:val="3"/>
          <w:lang w:eastAsia="zh-CN" w:bidi="hi-IN"/>
        </w:rPr>
        <w:t xml:space="preserve"> </w:t>
      </w:r>
      <w:r w:rsidRPr="00E60DF6">
        <w:rPr>
          <w:rFonts w:eastAsia="NSimSun"/>
          <w:bCs/>
          <w:kern w:val="3"/>
          <w:lang w:eastAsia="zh-CN" w:bidi="hi-IN"/>
        </w:rPr>
        <w:t>Ataskaitiniu laikotarpiu</w:t>
      </w:r>
      <w:r w:rsidRPr="00C27086">
        <w:rPr>
          <w:rFonts w:eastAsia="NSimSun"/>
          <w:bCs/>
          <w:kern w:val="3"/>
          <w:lang w:eastAsia="zh-CN" w:bidi="hi-IN"/>
        </w:rPr>
        <w:t xml:space="preserve"> </w:t>
      </w:r>
      <w:r w:rsidRPr="00D33346">
        <w:rPr>
          <w:rFonts w:eastAsia="NSimSun"/>
          <w:bCs/>
          <w:kern w:val="3"/>
          <w:lang w:eastAsia="zh-CN" w:bidi="hi-IN"/>
        </w:rPr>
        <w:t>Pirm</w:t>
      </w:r>
      <w:r w:rsidRPr="004D7D8E">
        <w:rPr>
          <w:rFonts w:eastAsia="NSimSun"/>
          <w:bCs/>
          <w:kern w:val="3"/>
          <w:lang w:eastAsia="zh-CN" w:bidi="hi-IN"/>
        </w:rPr>
        <w:t>ai</w:t>
      </w:r>
      <w:r w:rsidRPr="00D84366">
        <w:rPr>
          <w:rFonts w:eastAsia="NSimSun"/>
          <w:bCs/>
          <w:kern w:val="3"/>
          <w:lang w:eastAsia="zh-CN" w:bidi="hi-IN"/>
        </w:rPr>
        <w:t xml:space="preserve"> paslaug</w:t>
      </w:r>
      <w:r w:rsidRPr="00862CF7">
        <w:rPr>
          <w:rFonts w:eastAsia="NSimSun"/>
          <w:bCs/>
          <w:kern w:val="3"/>
          <w:lang w:eastAsia="zh-CN" w:bidi="hi-IN"/>
        </w:rPr>
        <w:t xml:space="preserve">ai </w:t>
      </w:r>
      <w:r>
        <w:rPr>
          <w:rFonts w:eastAsia="NSimSun"/>
          <w:bCs/>
          <w:kern w:val="3"/>
          <w:lang w:eastAsia="zh-CN" w:bidi="hi-IN"/>
        </w:rPr>
        <w:t xml:space="preserve">apskaitė ir </w:t>
      </w:r>
      <w:r w:rsidRPr="00862CF7">
        <w:rPr>
          <w:rFonts w:eastAsia="NSimSun"/>
          <w:bCs/>
          <w:kern w:val="3"/>
          <w:lang w:eastAsia="zh-CN" w:bidi="hi-IN"/>
        </w:rPr>
        <w:t xml:space="preserve">priskyrė </w:t>
      </w:r>
      <w:r w:rsidR="00E10720">
        <w:rPr>
          <w:rFonts w:eastAsia="NSimSun"/>
          <w:bCs/>
          <w:kern w:val="3"/>
          <w:lang w:eastAsia="zh-CN" w:bidi="hi-IN"/>
        </w:rPr>
        <w:t>&lt;...&gt;</w:t>
      </w:r>
      <w:r w:rsidRPr="001F564D">
        <w:rPr>
          <w:rFonts w:eastAsia="NSimSun"/>
          <w:bCs/>
          <w:kern w:val="3"/>
          <w:lang w:eastAsia="zh-CN" w:bidi="hi-IN"/>
        </w:rPr>
        <w:t xml:space="preserve"> Eur </w:t>
      </w:r>
      <w:r w:rsidRPr="00E60DF6">
        <w:t>su šios paslaugos teikimu susijusių išlaidų, o</w:t>
      </w:r>
      <w:r w:rsidRPr="00D33346">
        <w:t xml:space="preserve"> </w:t>
      </w:r>
      <w:r w:rsidRPr="00675FD3">
        <w:t>Antrai </w:t>
      </w:r>
      <w:r w:rsidRPr="001F564D">
        <w:t>paslaug</w:t>
      </w:r>
      <w:r w:rsidRPr="00E60DF6">
        <w:t>ai</w:t>
      </w:r>
      <w:r>
        <w:t xml:space="preserve"> –</w:t>
      </w:r>
      <w:r w:rsidRPr="00C27086">
        <w:t xml:space="preserve"> </w:t>
      </w:r>
      <w:r w:rsidR="00E10720">
        <w:t>&lt;...&gt;</w:t>
      </w:r>
      <w:r w:rsidRPr="00675FD3">
        <w:t xml:space="preserve"> Eur </w:t>
      </w:r>
      <w:r w:rsidRPr="001F564D">
        <w:t xml:space="preserve">su šios paslaugos teikimu </w:t>
      </w:r>
      <w:r w:rsidRPr="006216FC">
        <w:t>susijusių išlaidų, tačiau nepateikė šių išlaidų priskyrimo atitinkamoms paslaugoms detalizavimo, t. y. išlaidų paskirstymo SAP sistemoje išklotinių ataskaitų, kurios leistų patikrinti išlaidų</w:t>
      </w:r>
      <w:r w:rsidR="00CF67E3">
        <w:t xml:space="preserve"> priskyrimo</w:t>
      </w:r>
      <w:r w:rsidRPr="006216FC">
        <w:t xml:space="preserve"> pagrįstumą. Tarnyba taip pat nustatė, kad </w:t>
      </w:r>
      <w:r w:rsidR="00F92937">
        <w:t>Infros</w:t>
      </w:r>
      <w:r w:rsidR="00F92937" w:rsidRPr="006216FC">
        <w:t xml:space="preserve"> </w:t>
      </w:r>
      <w:r w:rsidRPr="006216FC">
        <w:t xml:space="preserve">valdomi privažiuojamieji geležinkelio keliai priskirti GPĮ ir naudojimasis jais priskiriamas Pirmos paslaugos suteikimui ir apmokestinamas Pirmos paslaugos tarifu. </w:t>
      </w:r>
    </w:p>
    <w:p w14:paraId="360A8163" w14:textId="6B032580" w:rsidR="00F8321F" w:rsidRPr="004D7D8E" w:rsidRDefault="00F8321F" w:rsidP="00F8321F">
      <w:pPr>
        <w:pStyle w:val="ListParagraph"/>
        <w:numPr>
          <w:ilvl w:val="0"/>
          <w:numId w:val="15"/>
        </w:numPr>
        <w:tabs>
          <w:tab w:val="left" w:pos="993"/>
        </w:tabs>
        <w:ind w:left="0" w:firstLine="720"/>
        <w:jc w:val="both"/>
        <w:rPr>
          <w:b/>
          <w:bCs/>
        </w:rPr>
      </w:pPr>
      <w:r w:rsidRPr="006216FC">
        <w:rPr>
          <w:rFonts w:eastAsia="NSimSun"/>
          <w:bCs/>
          <w:kern w:val="3"/>
          <w:lang w:eastAsia="zh-CN" w:bidi="hi-IN"/>
        </w:rPr>
        <w:t xml:space="preserve">Tarnyba 2021 m. gegužės 10 d. raštu Nr. (67.15Mr)1B-1577 kreipėsi į </w:t>
      </w:r>
      <w:r w:rsidR="00F92937">
        <w:rPr>
          <w:rFonts w:eastAsia="NSimSun"/>
          <w:bCs/>
          <w:kern w:val="3"/>
          <w:lang w:eastAsia="zh-CN" w:bidi="hi-IN"/>
        </w:rPr>
        <w:t>Infrą</w:t>
      </w:r>
      <w:r w:rsidRPr="006216FC">
        <w:rPr>
          <w:rFonts w:eastAsia="NSimSun"/>
          <w:bCs/>
          <w:kern w:val="3"/>
          <w:lang w:eastAsia="zh-CN" w:bidi="hi-IN"/>
        </w:rPr>
        <w:t>, prašydama pateikti detalią išlaidų paskirstymo informaciją</w:t>
      </w:r>
      <w:r w:rsidRPr="006216FC">
        <w:rPr>
          <w:lang w:eastAsia="lt-LT"/>
        </w:rPr>
        <w:t>, siekiant įsitikinti, kad Paslaugoms nėra priskirtos išlaidos, nesusijusios su šių paslaugų teikimu, ir</w:t>
      </w:r>
      <w:r w:rsidRPr="006216FC">
        <w:rPr>
          <w:bCs/>
        </w:rPr>
        <w:t xml:space="preserve"> paaiškinti, kuo remiantis privažiuojamieji geležinkelio keliai buvo priskirti </w:t>
      </w:r>
      <w:r w:rsidRPr="006216FC">
        <w:t>GPĮ keliams, nurodant šių kelių sąrašą, ilgį, technines schemas, kartu su GPĮ schemomis, ir kitus skiriamuosius techninius, ekonominius ar kt. parametrus,</w:t>
      </w:r>
      <w:r w:rsidRPr="00A53D0A">
        <w:t xml:space="preserve"> leidžiančius identifikuoti </w:t>
      </w:r>
      <w:r w:rsidR="00CF67E3">
        <w:t>pagrindą</w:t>
      </w:r>
      <w:r w:rsidRPr="00A53D0A">
        <w:t xml:space="preserve"> šiuos geležinkelio kelius priskirti GP</w:t>
      </w:r>
      <w:r w:rsidR="0050043C">
        <w:t>Į</w:t>
      </w:r>
      <w:r>
        <w:t xml:space="preserve"> keliams</w:t>
      </w:r>
      <w:r w:rsidRPr="00A53D0A">
        <w:t xml:space="preserve"> ir laikyti ne</w:t>
      </w:r>
      <w:r w:rsidRPr="00F8321F">
        <w:t xml:space="preserve"> </w:t>
      </w:r>
      <w:r>
        <w:t xml:space="preserve">privažiuojamaisiais geležinkelio keliais, sujungtais su GPĮ, atsižvelgiant į tai, kad Kodekse numatytas skirtingas </w:t>
      </w:r>
      <w:r w:rsidR="005A5222">
        <w:t>GPĮ</w:t>
      </w:r>
      <w:r>
        <w:t xml:space="preserve"> priskirtų kelių ir privažiuojamųjų geležinkelio kelių, sujungtų su GPĮ</w:t>
      </w:r>
      <w:r w:rsidR="0050043C">
        <w:t>,</w:t>
      </w:r>
      <w:r>
        <w:t xml:space="preserve"> apmokestinimo būdas.</w:t>
      </w:r>
      <w:r w:rsidRPr="00A53D0A">
        <w:t xml:space="preserve"> </w:t>
      </w:r>
      <w:r w:rsidRPr="00D33346">
        <w:rPr>
          <w:bCs/>
        </w:rPr>
        <w:t xml:space="preserve"> </w:t>
      </w:r>
    </w:p>
    <w:p w14:paraId="4C128AC8" w14:textId="0D0C1DCC" w:rsidR="00F8321F" w:rsidRPr="001A2779" w:rsidRDefault="00F92937" w:rsidP="00F8321F">
      <w:pPr>
        <w:pStyle w:val="ListParagraph"/>
        <w:numPr>
          <w:ilvl w:val="0"/>
          <w:numId w:val="15"/>
        </w:numPr>
        <w:tabs>
          <w:tab w:val="left" w:pos="993"/>
        </w:tabs>
        <w:ind w:left="0" w:firstLine="720"/>
        <w:jc w:val="both"/>
        <w:rPr>
          <w:b/>
          <w:bCs/>
        </w:rPr>
      </w:pPr>
      <w:r>
        <w:rPr>
          <w:bCs/>
        </w:rPr>
        <w:t>Infra</w:t>
      </w:r>
      <w:r w:rsidRPr="006216FC">
        <w:rPr>
          <w:bCs/>
        </w:rPr>
        <w:t xml:space="preserve"> </w:t>
      </w:r>
      <w:r w:rsidR="00F8321F" w:rsidRPr="006216FC">
        <w:rPr>
          <w:bCs/>
        </w:rPr>
        <w:t xml:space="preserve">Raštu Nr. SD(LGI)-2438 Tarnybai pateikė </w:t>
      </w:r>
      <w:r>
        <w:rPr>
          <w:bCs/>
        </w:rPr>
        <w:t>Infros</w:t>
      </w:r>
      <w:r w:rsidRPr="006216FC">
        <w:rPr>
          <w:bCs/>
        </w:rPr>
        <w:t xml:space="preserve"> </w:t>
      </w:r>
      <w:r w:rsidR="00F8321F" w:rsidRPr="006216FC">
        <w:rPr>
          <w:bCs/>
        </w:rPr>
        <w:t>valdomų „Privažiuojamųjų ir jungiamųjų geležinkelio kelių sąrašą“ (toliau – Sąrašas), kurie priskirti Kodekso 30</w:t>
      </w:r>
      <w:r w:rsidR="00F8321F" w:rsidRPr="006216FC">
        <w:rPr>
          <w:bCs/>
          <w:vertAlign w:val="superscript"/>
        </w:rPr>
        <w:t>1</w:t>
      </w:r>
      <w:r w:rsidR="00F8321F" w:rsidRPr="006216FC">
        <w:rPr>
          <w:bCs/>
        </w:rPr>
        <w:t xml:space="preserve"> straipsnio 3 punkte nurodytam GPĮ – „</w:t>
      </w:r>
      <w:r w:rsidR="00F8321F" w:rsidRPr="006216FC">
        <w:rPr>
          <w:bCs/>
          <w:i/>
          <w:iCs/>
        </w:rPr>
        <w:t>Kaupiamieji kelynai, traukinio formavimo ir manevravimo įrenginiai</w:t>
      </w:r>
      <w:r w:rsidR="00F8321F" w:rsidRPr="006216FC">
        <w:rPr>
          <w:bCs/>
        </w:rPr>
        <w:t xml:space="preserve">“ ir </w:t>
      </w:r>
      <w:r>
        <w:rPr>
          <w:bCs/>
        </w:rPr>
        <w:t>Infros</w:t>
      </w:r>
      <w:r w:rsidRPr="006216FC">
        <w:rPr>
          <w:bCs/>
        </w:rPr>
        <w:t xml:space="preserve"> </w:t>
      </w:r>
      <w:r w:rsidR="00F8321F" w:rsidRPr="006216FC">
        <w:rPr>
          <w:bCs/>
        </w:rPr>
        <w:lastRenderedPageBreak/>
        <w:t xml:space="preserve">valdomų geležinkelio stočių schemas bei paaiškino, kad </w:t>
      </w:r>
      <w:r>
        <w:rPr>
          <w:bCs/>
        </w:rPr>
        <w:t>Infra</w:t>
      </w:r>
      <w:r w:rsidRPr="006216FC">
        <w:rPr>
          <w:bCs/>
        </w:rPr>
        <w:t xml:space="preserve"> </w:t>
      </w:r>
      <w:r w:rsidR="00F8321F" w:rsidRPr="006216FC">
        <w:rPr>
          <w:bCs/>
        </w:rPr>
        <w:t>privažiuojamųjų geležinkelio kelių nelaiko geležinkelio keliais, sujungtais su GPĮ, (toliau – Sujungti keliai) už kurių naudojimą nustatomas užmokestis vadovaujantis Kodekso 30</w:t>
      </w:r>
      <w:r w:rsidR="00F8321F" w:rsidRPr="006216FC">
        <w:rPr>
          <w:bCs/>
          <w:vertAlign w:val="superscript"/>
        </w:rPr>
        <w:t xml:space="preserve">4 </w:t>
      </w:r>
      <w:r w:rsidR="00F8321F" w:rsidRPr="006216FC">
        <w:rPr>
          <w:bCs/>
        </w:rPr>
        <w:t>straipsnio 3 dalies nuostatomis, t. y. užmokestis už prieigą prie Sujungtų kelių turi būti lygus išlaidoms, tiesiogiai patiriamoms vykdant geležinkelių transporto eismą. Be to</w:t>
      </w:r>
      <w:r w:rsidR="0050043C">
        <w:rPr>
          <w:bCs/>
        </w:rPr>
        <w:t>,</w:t>
      </w:r>
      <w:r w:rsidR="00F8321F" w:rsidRPr="006216FC">
        <w:rPr>
          <w:bCs/>
        </w:rPr>
        <w:t xml:space="preserve"> </w:t>
      </w:r>
      <w:r>
        <w:rPr>
          <w:bCs/>
        </w:rPr>
        <w:t>Infra</w:t>
      </w:r>
      <w:r w:rsidRPr="006216FC">
        <w:rPr>
          <w:bCs/>
        </w:rPr>
        <w:t xml:space="preserve"> </w:t>
      </w:r>
      <w:r w:rsidR="00F8321F" w:rsidRPr="006216FC">
        <w:rPr>
          <w:bCs/>
        </w:rPr>
        <w:t>minėtame rašte nurodė, kad jis Sąraše nurodytuose privažiuojamuosiuose geležinkelio keliuose teikia GPĮ paslaugas, todėl Sąraše pateiktus privažiuojamuosius geležinkelio kelius priskyrė</w:t>
      </w:r>
      <w:r w:rsidR="00F8321F" w:rsidRPr="00862CF7">
        <w:rPr>
          <w:bCs/>
        </w:rPr>
        <w:t xml:space="preserve"> GPĮ</w:t>
      </w:r>
      <w:r w:rsidR="00F8321F">
        <w:rPr>
          <w:bCs/>
        </w:rPr>
        <w:t xml:space="preserve"> – geležinkelio stoties keliams,</w:t>
      </w:r>
      <w:r w:rsidR="00F8321F" w:rsidRPr="00D33346">
        <w:rPr>
          <w:bCs/>
        </w:rPr>
        <w:t xml:space="preserve"> vadovaudamasis Techninio geležinkelių naudojimo nuostatų</w:t>
      </w:r>
      <w:r w:rsidR="00F8321F" w:rsidRPr="001F564D">
        <w:rPr>
          <w:rStyle w:val="FootnoteReference"/>
          <w:bCs/>
        </w:rPr>
        <w:footnoteReference w:id="7"/>
      </w:r>
      <w:r w:rsidR="00F8321F" w:rsidRPr="001F564D">
        <w:rPr>
          <w:bCs/>
        </w:rPr>
        <w:t xml:space="preserve"> </w:t>
      </w:r>
      <w:r w:rsidR="00F8321F" w:rsidRPr="00E60DF6">
        <w:rPr>
          <w:bCs/>
        </w:rPr>
        <w:t xml:space="preserve">(toliau – TGNN) </w:t>
      </w:r>
      <w:r w:rsidR="00F8321F" w:rsidRPr="00C27086">
        <w:rPr>
          <w:bCs/>
        </w:rPr>
        <w:t>2.19</w:t>
      </w:r>
      <w:r w:rsidR="00F8321F">
        <w:rPr>
          <w:bCs/>
        </w:rPr>
        <w:t> </w:t>
      </w:r>
      <w:r w:rsidR="00F8321F" w:rsidRPr="00C27086">
        <w:rPr>
          <w:bCs/>
        </w:rPr>
        <w:t>papunkčiu</w:t>
      </w:r>
      <w:r w:rsidR="0050043C">
        <w:rPr>
          <w:bCs/>
        </w:rPr>
        <w:t>.</w:t>
      </w:r>
      <w:r w:rsidR="00F8321F">
        <w:rPr>
          <w:bCs/>
        </w:rPr>
        <w:t xml:space="preserve"> </w:t>
      </w:r>
      <w:r>
        <w:rPr>
          <w:bCs/>
        </w:rPr>
        <w:t>Infra</w:t>
      </w:r>
      <w:r w:rsidRPr="00C34928">
        <w:rPr>
          <w:bCs/>
        </w:rPr>
        <w:t xml:space="preserve"> </w:t>
      </w:r>
      <w:r w:rsidR="00F8321F" w:rsidRPr="00C34928">
        <w:rPr>
          <w:bCs/>
        </w:rPr>
        <w:t xml:space="preserve">taip pat pateikė ilgalaikio turto sąrašą bei paaiškino, kad </w:t>
      </w:r>
      <w:r w:rsidR="00F8321F">
        <w:rPr>
          <w:bCs/>
        </w:rPr>
        <w:t xml:space="preserve">jo ilgalaikis </w:t>
      </w:r>
      <w:r w:rsidR="00F8321F" w:rsidRPr="00C34928">
        <w:rPr>
          <w:bCs/>
        </w:rPr>
        <w:t xml:space="preserve">turtas yra naudojamas tiek minimalaus prieigos </w:t>
      </w:r>
      <w:r w:rsidR="00F8321F">
        <w:rPr>
          <w:bCs/>
        </w:rPr>
        <w:t>prie viešosios geležinkelių infrastruktūros</w:t>
      </w:r>
      <w:r w:rsidR="00F8321F" w:rsidRPr="00C34928">
        <w:rPr>
          <w:bCs/>
        </w:rPr>
        <w:t xml:space="preserve"> </w:t>
      </w:r>
      <w:r w:rsidR="00F8321F">
        <w:rPr>
          <w:bCs/>
        </w:rPr>
        <w:t xml:space="preserve">paketo </w:t>
      </w:r>
      <w:r w:rsidR="00F8321F" w:rsidRPr="00C34928">
        <w:rPr>
          <w:bCs/>
        </w:rPr>
        <w:t>paslaugoms</w:t>
      </w:r>
      <w:r w:rsidR="00F8321F">
        <w:rPr>
          <w:bCs/>
        </w:rPr>
        <w:t xml:space="preserve"> (toliau – MPP)</w:t>
      </w:r>
      <w:r w:rsidR="00F8321F" w:rsidRPr="00C34928">
        <w:rPr>
          <w:bCs/>
        </w:rPr>
        <w:t>, tiek GPĮ paslaugoms teikti</w:t>
      </w:r>
      <w:r w:rsidR="00F8321F">
        <w:rPr>
          <w:bCs/>
        </w:rPr>
        <w:t xml:space="preserve">. Papildomai </w:t>
      </w:r>
      <w:r>
        <w:rPr>
          <w:bCs/>
        </w:rPr>
        <w:t xml:space="preserve">Infra </w:t>
      </w:r>
      <w:r w:rsidR="00F8321F">
        <w:rPr>
          <w:bCs/>
        </w:rPr>
        <w:t>pažymėjo, kad</w:t>
      </w:r>
      <w:r w:rsidR="00F8321F" w:rsidRPr="00C34928">
        <w:rPr>
          <w:bCs/>
        </w:rPr>
        <w:t xml:space="preserve"> viename GPĮ gali būti teikiamos kelios GPĮ paslaugos, todėl </w:t>
      </w:r>
      <w:r w:rsidR="00F8321F">
        <w:rPr>
          <w:bCs/>
        </w:rPr>
        <w:t xml:space="preserve">ilgalaikis </w:t>
      </w:r>
      <w:r w:rsidR="00F8321F" w:rsidRPr="00C34928">
        <w:rPr>
          <w:bCs/>
        </w:rPr>
        <w:t>turt</w:t>
      </w:r>
      <w:r w:rsidR="00F8321F">
        <w:rPr>
          <w:bCs/>
        </w:rPr>
        <w:t>as nėra priskiriamas</w:t>
      </w:r>
      <w:r w:rsidR="00F8321F" w:rsidRPr="00C34928">
        <w:rPr>
          <w:bCs/>
        </w:rPr>
        <w:t xml:space="preserve"> konkrečiai Pirmai ir Antrai paslaugai, kadangi su vienu turto vienetu yra teikiamos kelios paslaugos. </w:t>
      </w:r>
    </w:p>
    <w:p w14:paraId="529F1717" w14:textId="69B83FDD" w:rsidR="001A2779" w:rsidRPr="001A2779" w:rsidRDefault="001A2779" w:rsidP="001A2779">
      <w:pPr>
        <w:pStyle w:val="ListParagraph"/>
        <w:numPr>
          <w:ilvl w:val="0"/>
          <w:numId w:val="15"/>
        </w:numPr>
        <w:tabs>
          <w:tab w:val="left" w:pos="993"/>
        </w:tabs>
        <w:ind w:left="0" w:firstLine="720"/>
        <w:jc w:val="both"/>
        <w:rPr>
          <w:b/>
        </w:rPr>
      </w:pPr>
      <w:r w:rsidRPr="002761A8">
        <w:t xml:space="preserve">Tarnyba </w:t>
      </w:r>
      <w:r w:rsidRPr="002761A8">
        <w:rPr>
          <w:rFonts w:eastAsiaTheme="minorHAnsi"/>
        </w:rPr>
        <w:t>2021 m. liepos 2 d. raštu Nr</w:t>
      </w:r>
      <w:r w:rsidRPr="00E57689">
        <w:rPr>
          <w:rFonts w:eastAsiaTheme="minorHAnsi"/>
        </w:rPr>
        <w:t xml:space="preserve">. </w:t>
      </w:r>
      <w:r w:rsidRPr="00476ED1">
        <w:rPr>
          <w:rFonts w:eastAsiaTheme="minorHAnsi"/>
        </w:rPr>
        <w:t>(67.15Mr)1B-2214</w:t>
      </w:r>
      <w:r w:rsidRPr="002761A8">
        <w:rPr>
          <w:rFonts w:eastAsiaTheme="minorHAnsi"/>
        </w:rPr>
        <w:t xml:space="preserve"> </w:t>
      </w:r>
      <w:r>
        <w:rPr>
          <w:rFonts w:eastAsiaTheme="minorHAnsi"/>
        </w:rPr>
        <w:t xml:space="preserve">papildomai </w:t>
      </w:r>
      <w:r w:rsidRPr="002761A8">
        <w:rPr>
          <w:rFonts w:eastAsiaTheme="minorHAnsi"/>
        </w:rPr>
        <w:t xml:space="preserve">kreipėsi į </w:t>
      </w:r>
      <w:r w:rsidR="00F92937">
        <w:rPr>
          <w:rFonts w:eastAsiaTheme="minorHAnsi"/>
        </w:rPr>
        <w:t>Infrą</w:t>
      </w:r>
      <w:r w:rsidR="00F92937" w:rsidRPr="002761A8">
        <w:rPr>
          <w:rFonts w:eastAsiaTheme="minorHAnsi"/>
        </w:rPr>
        <w:t xml:space="preserve"> </w:t>
      </w:r>
      <w:r w:rsidRPr="002761A8">
        <w:rPr>
          <w:rFonts w:eastAsiaTheme="minorHAnsi"/>
        </w:rPr>
        <w:t xml:space="preserve">prašydama </w:t>
      </w:r>
      <w:r>
        <w:t xml:space="preserve">pateikti paaiškinimus dėl Paslaugų teikimo sąlygų ir kada, </w:t>
      </w:r>
      <w:r w:rsidRPr="002761A8">
        <w:t>kaip ir pagal ką yra apskaitomas suteikt</w:t>
      </w:r>
      <w:r>
        <w:t>ų</w:t>
      </w:r>
      <w:r w:rsidRPr="002761A8">
        <w:t xml:space="preserve"> </w:t>
      </w:r>
      <w:r>
        <w:t>Paslaugų</w:t>
      </w:r>
      <w:r w:rsidRPr="002761A8">
        <w:t xml:space="preserve"> kieki</w:t>
      </w:r>
      <w:r w:rsidR="0050043C">
        <w:t>s</w:t>
      </w:r>
      <w:r>
        <w:t xml:space="preserve">. Tarnyba pagal </w:t>
      </w:r>
      <w:r w:rsidR="00F92937">
        <w:t xml:space="preserve">Infros </w:t>
      </w:r>
      <w:r>
        <w:t xml:space="preserve">pateiktą privažiuojamųjų </w:t>
      </w:r>
      <w:r w:rsidR="0050043C">
        <w:t xml:space="preserve">geležinkelio </w:t>
      </w:r>
      <w:r>
        <w:t>kelių sąrašą sudarė lentelę (toliau</w:t>
      </w:r>
      <w:r w:rsidR="0050043C">
        <w:t xml:space="preserve"> – </w:t>
      </w:r>
      <w:r>
        <w:t xml:space="preserve">kelių lentelė), kurioje </w:t>
      </w:r>
      <w:r w:rsidR="00F92937">
        <w:t xml:space="preserve">Infros </w:t>
      </w:r>
      <w:r>
        <w:t xml:space="preserve">paprašė užpildyti, kokios paslaugos nurodytuose privažiuojamuosiuose </w:t>
      </w:r>
      <w:r w:rsidR="0050043C">
        <w:t xml:space="preserve">geležinkelio </w:t>
      </w:r>
      <w:r>
        <w:t xml:space="preserve">keliuose teikiamos ir </w:t>
      </w:r>
      <w:r w:rsidR="00A30BEC">
        <w:t>nurodyti</w:t>
      </w:r>
      <w:r w:rsidR="00777A77">
        <w:t>,</w:t>
      </w:r>
      <w:r w:rsidR="00A30BEC">
        <w:t xml:space="preserve"> </w:t>
      </w:r>
      <w:r>
        <w:t>ar nurodyti keliai yra stoties teritorijos ribose.</w:t>
      </w:r>
    </w:p>
    <w:p w14:paraId="48457584" w14:textId="03A3E07C" w:rsidR="00F8321F" w:rsidRPr="001A2779" w:rsidRDefault="00F92937" w:rsidP="00F8321F">
      <w:pPr>
        <w:pStyle w:val="ListParagraph"/>
        <w:numPr>
          <w:ilvl w:val="0"/>
          <w:numId w:val="15"/>
        </w:numPr>
        <w:tabs>
          <w:tab w:val="left" w:pos="993"/>
        </w:tabs>
        <w:ind w:left="0" w:firstLine="720"/>
        <w:jc w:val="both"/>
        <w:rPr>
          <w:b/>
          <w:bCs/>
        </w:rPr>
      </w:pPr>
      <w:r>
        <w:rPr>
          <w:rFonts w:eastAsiaTheme="minorHAnsi"/>
        </w:rPr>
        <w:t>Infra</w:t>
      </w:r>
      <w:r w:rsidRPr="002761A8">
        <w:rPr>
          <w:rFonts w:eastAsiaTheme="minorHAnsi"/>
        </w:rPr>
        <w:t xml:space="preserve"> </w:t>
      </w:r>
      <w:r w:rsidR="00F8321F" w:rsidRPr="00FB69F2">
        <w:t>Rašt</w:t>
      </w:r>
      <w:r w:rsidR="00F8321F">
        <w:t>e</w:t>
      </w:r>
      <w:r w:rsidR="00F8321F" w:rsidRPr="00FB69F2">
        <w:t xml:space="preserve"> Nr. SD(LGI)-3358</w:t>
      </w:r>
      <w:r w:rsidR="00F8321F" w:rsidRPr="00E57689">
        <w:t xml:space="preserve"> </w:t>
      </w:r>
      <w:r w:rsidR="00F8321F">
        <w:t xml:space="preserve">nurodė, kad Pirma paslauga yra teikiama tuomet, kai važiuojama geležinkelio stoties keliais, siekiant riedmenis varyti iš arba į privažiuojamuosius </w:t>
      </w:r>
      <w:r w:rsidR="001A2779">
        <w:t xml:space="preserve">geležinkelio </w:t>
      </w:r>
      <w:r w:rsidR="00F8321F">
        <w:t>kelius</w:t>
      </w:r>
      <w:r w:rsidR="001A2779">
        <w:t xml:space="preserve">, tačiau tais atvejais, kai vagonų judėjimas vyksta tik geležinkelio stoties keliuose ir riedmenys nėra vežami iš arba į privažiuojamuosius </w:t>
      </w:r>
      <w:r w:rsidR="00A939E1">
        <w:t xml:space="preserve">geležinkelio </w:t>
      </w:r>
      <w:r w:rsidR="001A2779">
        <w:t>kelius, toks važiavimas geležinkelio stoties keliais nėra apmokestinamas kaip Pirma paslauga.</w:t>
      </w:r>
      <w:r w:rsidR="001A2779" w:rsidRPr="001A2779">
        <w:t xml:space="preserve"> </w:t>
      </w:r>
      <w:r>
        <w:t xml:space="preserve">Infra </w:t>
      </w:r>
      <w:r w:rsidR="001A2779">
        <w:t xml:space="preserve">paaiškino, kad </w:t>
      </w:r>
      <w:r w:rsidR="001A2779" w:rsidRPr="002761A8">
        <w:t xml:space="preserve">Pirmos paslaugos kiekis </w:t>
      </w:r>
      <w:r w:rsidR="001A2779">
        <w:t>yra apskaitomas atsižvelgiant į</w:t>
      </w:r>
      <w:r w:rsidR="001A2779" w:rsidRPr="002761A8">
        <w:t xml:space="preserve"> </w:t>
      </w:r>
      <w:r w:rsidR="001A2779">
        <w:t xml:space="preserve">pareiškėjų </w:t>
      </w:r>
      <w:r w:rsidR="001A2779" w:rsidRPr="002761A8">
        <w:t>pateiktus GPĮ teikiamų paslaugų prašymus</w:t>
      </w:r>
      <w:r w:rsidR="001A2779">
        <w:t xml:space="preserve"> po to, kai geležinkelio stoties</w:t>
      </w:r>
      <w:r w:rsidR="001A2779" w:rsidRPr="002761A8">
        <w:t xml:space="preserve"> </w:t>
      </w:r>
      <w:r w:rsidR="001A2779">
        <w:t xml:space="preserve">darbuotojai suveda informaciją Valdytojo informacinėje paslaugų apskaitos sistemoje (toliau – </w:t>
      </w:r>
      <w:r w:rsidR="001A2779" w:rsidRPr="00AE6FF8">
        <w:t>VIPAS</w:t>
      </w:r>
      <w:r w:rsidR="001A2779">
        <w:t>). P</w:t>
      </w:r>
      <w:r w:rsidR="001A2779" w:rsidRPr="002761A8">
        <w:t>aslaug</w:t>
      </w:r>
      <w:r w:rsidR="001A2779">
        <w:t xml:space="preserve">a </w:t>
      </w:r>
      <w:r w:rsidR="001A2779" w:rsidRPr="002761A8">
        <w:t xml:space="preserve">apskaitoma pagal </w:t>
      </w:r>
      <w:r w:rsidR="001A2779">
        <w:t>pareiškėjų</w:t>
      </w:r>
      <w:r w:rsidR="001A2779" w:rsidRPr="002761A8">
        <w:t xml:space="preserve"> </w:t>
      </w:r>
      <w:r w:rsidR="001A2779">
        <w:t>varyt</w:t>
      </w:r>
      <w:r w:rsidR="00187A17">
        <w:t>ų</w:t>
      </w:r>
      <w:r w:rsidR="001A2779">
        <w:t xml:space="preserve"> </w:t>
      </w:r>
      <w:r w:rsidR="001A2779" w:rsidRPr="002761A8">
        <w:t>vagonų kiekį ir nuvažiuotą atstumą kilometrais.</w:t>
      </w:r>
      <w:r w:rsidR="001A2779">
        <w:t xml:space="preserve"> Taip pat </w:t>
      </w:r>
      <w:r>
        <w:t xml:space="preserve">Infra </w:t>
      </w:r>
      <w:r w:rsidR="001A2779">
        <w:t>nurodė, kad „</w:t>
      </w:r>
      <w:r w:rsidR="001A2779" w:rsidRPr="00180830">
        <w:rPr>
          <w:i/>
          <w:iCs/>
        </w:rPr>
        <w:t>Pirmoje paslaugoje įvardintas vagonų varymas neapima riedmenų formavimo, o apibrėžia tik riedmenų judėjimą nuo vieno taško iki kito, kur galutinis judėjimo taškas yra Valdytojo ar Paslaugų gavėjo privažiuojamojo kelio riba</w:t>
      </w:r>
      <w:r w:rsidR="001A2779" w:rsidRPr="000C3BEB">
        <w:t>“</w:t>
      </w:r>
      <w:r w:rsidR="001A2779">
        <w:t xml:space="preserve">. </w:t>
      </w:r>
      <w:r w:rsidR="008F3743">
        <w:t xml:space="preserve">Infra </w:t>
      </w:r>
      <w:r w:rsidR="001A2779">
        <w:t xml:space="preserve">kelių lentelėje nurodė, kad visuose privažiuojamuosiuose </w:t>
      </w:r>
      <w:r w:rsidR="00A939E1">
        <w:t xml:space="preserve">geležinkelio </w:t>
      </w:r>
      <w:r w:rsidR="001A2779">
        <w:t>keliuose teikiama Pirma paslauga, o geležinkelio stoties ribai jie priskirti pagal TGNN 16.2 papunktyje pateiktą geležinkelio stoties ribos tarp geležinkelio stoties ir tarpstočio sąvoką.</w:t>
      </w:r>
    </w:p>
    <w:p w14:paraId="078A7252" w14:textId="26C1A46F" w:rsidR="00195403" w:rsidRPr="001A2779" w:rsidRDefault="008F3743" w:rsidP="001A2779">
      <w:pPr>
        <w:pStyle w:val="ListParagraph"/>
        <w:numPr>
          <w:ilvl w:val="0"/>
          <w:numId w:val="15"/>
        </w:numPr>
        <w:tabs>
          <w:tab w:val="left" w:pos="993"/>
        </w:tabs>
        <w:ind w:left="0" w:firstLine="720"/>
        <w:jc w:val="both"/>
        <w:rPr>
          <w:b/>
          <w:bCs/>
        </w:rPr>
      </w:pPr>
      <w:r>
        <w:rPr>
          <w:rFonts w:eastAsiaTheme="minorHAnsi"/>
        </w:rPr>
        <w:t>Infra</w:t>
      </w:r>
      <w:r w:rsidRPr="001A2779">
        <w:rPr>
          <w:rFonts w:eastAsiaTheme="minorHAnsi"/>
        </w:rPr>
        <w:t xml:space="preserve"> </w:t>
      </w:r>
      <w:r w:rsidR="001A2779" w:rsidRPr="00180830">
        <w:t>Rašt</w:t>
      </w:r>
      <w:r w:rsidR="001A2779">
        <w:t>e</w:t>
      </w:r>
      <w:r w:rsidR="001A2779" w:rsidRPr="00180830">
        <w:t xml:space="preserve"> Nr. SD(LGI)-3358</w:t>
      </w:r>
      <w:r w:rsidR="001A2779" w:rsidRPr="002761A8">
        <w:t xml:space="preserve"> </w:t>
      </w:r>
      <w:r w:rsidR="001A2779">
        <w:t>nurodė</w:t>
      </w:r>
      <w:r w:rsidR="001A2779" w:rsidRPr="00180830">
        <w:t>, kad</w:t>
      </w:r>
      <w:r w:rsidR="001A2779" w:rsidRPr="002C2909">
        <w:t xml:space="preserve"> Antra paslauga</w:t>
      </w:r>
      <w:r w:rsidR="001A2779" w:rsidRPr="00180830">
        <w:t xml:space="preserve"> apima šiuos veiksmus</w:t>
      </w:r>
      <w:r w:rsidR="001A2779" w:rsidRPr="002C2909">
        <w:t>: (1)</w:t>
      </w:r>
      <w:r w:rsidR="001A2779" w:rsidRPr="00180830">
        <w:t xml:space="preserve"> </w:t>
      </w:r>
      <w:r w:rsidR="001A2779" w:rsidRPr="001A2779">
        <w:rPr>
          <w:rFonts w:eastAsiaTheme="minorHAnsi"/>
        </w:rPr>
        <w:t xml:space="preserve">geležinkelių riedmenų atkabinimas, sukeitimas vietomis traukinio sąstate geležinkelio stoties kelyje ir </w:t>
      </w:r>
      <w:r w:rsidR="001A2779" w:rsidRPr="001A2779">
        <w:rPr>
          <w:rFonts w:eastAsiaTheme="minorHAnsi"/>
          <w:bCs/>
        </w:rPr>
        <w:t xml:space="preserve">atvarymas į privažiuojamąjį </w:t>
      </w:r>
      <w:r w:rsidR="00A939E1">
        <w:rPr>
          <w:rFonts w:eastAsiaTheme="minorHAnsi"/>
          <w:bCs/>
        </w:rPr>
        <w:t xml:space="preserve">geležinkelio </w:t>
      </w:r>
      <w:r w:rsidR="001A2779" w:rsidRPr="001A2779">
        <w:rPr>
          <w:rFonts w:eastAsiaTheme="minorHAnsi"/>
          <w:bCs/>
        </w:rPr>
        <w:t>kelią</w:t>
      </w:r>
      <w:r w:rsidR="001A2779" w:rsidRPr="001A2779">
        <w:rPr>
          <w:rFonts w:eastAsiaTheme="minorHAnsi"/>
        </w:rPr>
        <w:t xml:space="preserve"> ar kitus geležinkelio stoties kelius; (2) geležinkelių riedmenų prikabinimas ir surinkimas iš daugiau nei vieno geležinkelio stoties kelio nuvarymui prikabinti prie stovinčio traukinio sąstato geležinkelio stoties kelyje; (3) geležinkelių riedmenų nuvarymas iš privažiuojamojo </w:t>
      </w:r>
      <w:r w:rsidR="00A939E1">
        <w:rPr>
          <w:rFonts w:eastAsiaTheme="minorHAnsi"/>
        </w:rPr>
        <w:t xml:space="preserve">geležinkelio </w:t>
      </w:r>
      <w:r w:rsidR="001A2779" w:rsidRPr="001A2779">
        <w:rPr>
          <w:rFonts w:eastAsiaTheme="minorHAnsi"/>
        </w:rPr>
        <w:t xml:space="preserve">kelio ir palikimas viename geležinkelio stoties kelyje ir tik vėliau išskirstymas į daugiau nei vieną geležinkelio stoties kelią. </w:t>
      </w:r>
      <w:r w:rsidR="00B45825">
        <w:t xml:space="preserve">Infra </w:t>
      </w:r>
      <w:r w:rsidR="001A2779">
        <w:t xml:space="preserve">paaiškino, </w:t>
      </w:r>
      <w:r w:rsidR="001A2779" w:rsidRPr="00AE6FF8">
        <w:t xml:space="preserve">kad </w:t>
      </w:r>
      <w:r w:rsidR="001A2779">
        <w:t xml:space="preserve">geležinkelio </w:t>
      </w:r>
      <w:r w:rsidR="001A2779" w:rsidRPr="00AE6FF8">
        <w:t>stoties darbuotoja</w:t>
      </w:r>
      <w:r w:rsidR="001A2779">
        <w:t>i</w:t>
      </w:r>
      <w:r w:rsidR="001A2779" w:rsidRPr="00AE6FF8">
        <w:t xml:space="preserve"> realiu laiku VIPAS sistemoje fiksuoja</w:t>
      </w:r>
      <w:r w:rsidR="00A939E1">
        <w:t>,</w:t>
      </w:r>
      <w:r w:rsidR="001A2779" w:rsidRPr="00AE6FF8">
        <w:t xml:space="preserve"> ar buvo atlikti </w:t>
      </w:r>
      <w:r w:rsidR="001A2779">
        <w:t xml:space="preserve">geležinkelių </w:t>
      </w:r>
      <w:r w:rsidR="001A2779" w:rsidRPr="00AE6FF8">
        <w:t xml:space="preserve">riedmenų formavimo veiksmai, kurie priskiriami </w:t>
      </w:r>
      <w:r w:rsidR="001A2779">
        <w:t xml:space="preserve">Antros paslaugos </w:t>
      </w:r>
      <w:r w:rsidR="001A2779" w:rsidRPr="00AE6FF8">
        <w:t xml:space="preserve">veiksmus atlikusiam </w:t>
      </w:r>
      <w:r w:rsidR="001A2779">
        <w:t xml:space="preserve">pareiškėjui. Tuomet </w:t>
      </w:r>
      <w:r w:rsidR="00B45825">
        <w:t>Infra</w:t>
      </w:r>
      <w:r w:rsidR="001A2779">
        <w:t>,</w:t>
      </w:r>
      <w:r w:rsidR="001A2779" w:rsidRPr="00AE6FF8">
        <w:t xml:space="preserve"> pasibaigus einamajam mėnesiui</w:t>
      </w:r>
      <w:r w:rsidR="001A2779">
        <w:t>,</w:t>
      </w:r>
      <w:r w:rsidR="001A2779" w:rsidRPr="00AE6FF8">
        <w:t xml:space="preserve"> </w:t>
      </w:r>
      <w:r w:rsidR="001A2779">
        <w:t>o</w:t>
      </w:r>
      <w:r w:rsidR="001A2779" w:rsidRPr="00AE6FF8">
        <w:t xml:space="preserve">, esant poreikiui, kelis kartus per mėnesį, VIPAS sistemoje suformuoja Antros paslaugos </w:t>
      </w:r>
      <w:r w:rsidR="001A2779">
        <w:t xml:space="preserve">teikimo </w:t>
      </w:r>
      <w:r w:rsidR="001A2779" w:rsidRPr="00AE6FF8">
        <w:t>ataskait</w:t>
      </w:r>
      <w:r w:rsidR="001A2779">
        <w:t>ą</w:t>
      </w:r>
      <w:r w:rsidR="001A2779" w:rsidRPr="00AE6FF8">
        <w:t xml:space="preserve"> už atitinkamą laikotarpį, kurioje fiksuojami visiems </w:t>
      </w:r>
      <w:r w:rsidR="001A2779">
        <w:t xml:space="preserve">pareiškėjams </w:t>
      </w:r>
      <w:r w:rsidR="001A2779" w:rsidRPr="00AE6FF8">
        <w:t>suteiktų paslaugų kiekiai</w:t>
      </w:r>
      <w:r w:rsidR="001A2779">
        <w:t xml:space="preserve">. Atitinkamai </w:t>
      </w:r>
      <w:r w:rsidR="00A729A0">
        <w:t>Infra</w:t>
      </w:r>
      <w:r w:rsidR="00A729A0" w:rsidRPr="00AE6FF8">
        <w:t xml:space="preserve"> </w:t>
      </w:r>
      <w:r w:rsidR="001A2779" w:rsidRPr="00AE6FF8">
        <w:t>užmokestį už suteikt</w:t>
      </w:r>
      <w:r w:rsidR="001A2779">
        <w:t>ą Antrą paslaugą</w:t>
      </w:r>
      <w:r w:rsidR="001A2779" w:rsidRPr="00AE6FF8">
        <w:t xml:space="preserve"> apskaičiuoja pagal suformuotas mėnesio ataskaitas ir </w:t>
      </w:r>
      <w:r w:rsidR="001A2779">
        <w:t xml:space="preserve">pareiškėjams </w:t>
      </w:r>
      <w:r w:rsidR="001A2779" w:rsidRPr="00AE6FF8">
        <w:t xml:space="preserve">išrašo sąskaitas faktūras. </w:t>
      </w:r>
      <w:r w:rsidR="00A729A0">
        <w:t>Infra</w:t>
      </w:r>
      <w:r w:rsidR="00A729A0" w:rsidRPr="00AE6FF8">
        <w:t xml:space="preserve"> </w:t>
      </w:r>
      <w:r w:rsidR="001A2779">
        <w:t>2021 m. rugpjūčio 24 d. el. paštu Tarnybai patikslino</w:t>
      </w:r>
      <w:r w:rsidR="001A2779" w:rsidRPr="00AE6FF8">
        <w:t>, kad Antros paslaugos teikimas fiksuojamas</w:t>
      </w:r>
      <w:r w:rsidR="001A2779">
        <w:t xml:space="preserve"> –</w:t>
      </w:r>
      <w:r w:rsidR="001A2779" w:rsidRPr="00AE6FF8">
        <w:t xml:space="preserve"> įvedamas į VIPAS sistemą ir apskaitom</w:t>
      </w:r>
      <w:r w:rsidR="001A2779">
        <w:t>as</w:t>
      </w:r>
      <w:r w:rsidR="001A2779" w:rsidRPr="00AE6FF8">
        <w:t xml:space="preserve"> tik tais atvejais, kai vagonai į geležinkelio stotį yra atvaromi iš privažiuojamųjų </w:t>
      </w:r>
      <w:r w:rsidR="001A2779">
        <w:t xml:space="preserve">geležinkelio </w:t>
      </w:r>
      <w:r w:rsidR="001A2779" w:rsidRPr="00AE6FF8">
        <w:t xml:space="preserve">kelių ir yra atliekami traukinio formavimo ir manevravimo veiksmai, o tais atvejais, kai vagonų sąstatas į geležinkelio stotį atvaromas tarpstočio </w:t>
      </w:r>
      <w:r w:rsidR="001A2779">
        <w:t xml:space="preserve">geležinkelio </w:t>
      </w:r>
      <w:r w:rsidR="001A2779" w:rsidRPr="00AE6FF8">
        <w:t xml:space="preserve">keliu, </w:t>
      </w:r>
      <w:r w:rsidR="001A2779">
        <w:t xml:space="preserve">toks </w:t>
      </w:r>
      <w:r w:rsidR="001A2779">
        <w:lastRenderedPageBreak/>
        <w:t xml:space="preserve">varymas </w:t>
      </w:r>
      <w:r w:rsidR="001A2779" w:rsidRPr="00AE6FF8">
        <w:t xml:space="preserve">VIPAS sistemoje </w:t>
      </w:r>
      <w:r w:rsidR="001A2779">
        <w:t xml:space="preserve">nėra </w:t>
      </w:r>
      <w:r w:rsidR="001A2779" w:rsidRPr="00AE6FF8">
        <w:t>fiksuojama</w:t>
      </w:r>
      <w:r w:rsidR="001A2779">
        <w:t>s</w:t>
      </w:r>
      <w:r w:rsidR="001A2779" w:rsidRPr="00AE6FF8">
        <w:t>, neapskaitoma</w:t>
      </w:r>
      <w:r w:rsidR="001A2779">
        <w:t>s</w:t>
      </w:r>
      <w:r w:rsidR="001A2779" w:rsidRPr="00AE6FF8">
        <w:t xml:space="preserve"> ir  neapmokestinama</w:t>
      </w:r>
      <w:r w:rsidR="001A2779">
        <w:t>s</w:t>
      </w:r>
      <w:r w:rsidR="001A2779" w:rsidRPr="00AE6FF8">
        <w:t xml:space="preserve"> kaip naudojimasis Antra paslauga, kadangi </w:t>
      </w:r>
      <w:r w:rsidR="001A2779">
        <w:t>VIPAS</w:t>
      </w:r>
      <w:r w:rsidR="001A2779" w:rsidRPr="00AE6FF8">
        <w:t xml:space="preserve"> sukurta taip, kad fiksuotų GPĮ formavimo paslaugas tik važiavimui į privažiuojamuosius </w:t>
      </w:r>
      <w:r w:rsidR="001A2779">
        <w:t xml:space="preserve">geležinkelio </w:t>
      </w:r>
      <w:r w:rsidR="001A2779" w:rsidRPr="00AE6FF8">
        <w:t>kelius ar iš jų</w:t>
      </w:r>
      <w:r w:rsidR="001A2779">
        <w:t>.</w:t>
      </w:r>
    </w:p>
    <w:p w14:paraId="60CFD6CC" w14:textId="5C5B2D9D" w:rsidR="001A2779" w:rsidRPr="001A2779" w:rsidRDefault="001A2779" w:rsidP="001A2779">
      <w:pPr>
        <w:pStyle w:val="ListParagraph"/>
        <w:numPr>
          <w:ilvl w:val="0"/>
          <w:numId w:val="15"/>
        </w:numPr>
        <w:tabs>
          <w:tab w:val="left" w:pos="993"/>
        </w:tabs>
        <w:ind w:left="0" w:firstLine="720"/>
        <w:jc w:val="both"/>
        <w:rPr>
          <w:b/>
          <w:bCs/>
        </w:rPr>
      </w:pPr>
      <w:r w:rsidRPr="00C34928">
        <w:rPr>
          <w:bCs/>
        </w:rPr>
        <w:t>Tarnyba, įvertinusi</w:t>
      </w:r>
      <w:r>
        <w:rPr>
          <w:bCs/>
        </w:rPr>
        <w:t xml:space="preserve"> šio įsakymo</w:t>
      </w:r>
      <w:r w:rsidRPr="00C34928">
        <w:rPr>
          <w:bCs/>
        </w:rPr>
        <w:t xml:space="preserve"> 1–</w:t>
      </w:r>
      <w:r>
        <w:rPr>
          <w:bCs/>
        </w:rPr>
        <w:t xml:space="preserve">9 </w:t>
      </w:r>
      <w:r w:rsidR="00DC3BFF">
        <w:rPr>
          <w:bCs/>
        </w:rPr>
        <w:t>punktuose</w:t>
      </w:r>
      <w:r w:rsidR="00DC3BFF" w:rsidRPr="00C34928">
        <w:rPr>
          <w:bCs/>
        </w:rPr>
        <w:t xml:space="preserve"> </w:t>
      </w:r>
      <w:r w:rsidRPr="00C34928">
        <w:rPr>
          <w:bCs/>
        </w:rPr>
        <w:t>nurodytą informaciją, vadovaudamasi Kodekso 7</w:t>
      </w:r>
      <w:r w:rsidRPr="00C34928">
        <w:rPr>
          <w:bCs/>
          <w:vertAlign w:val="superscript"/>
        </w:rPr>
        <w:t>1</w:t>
      </w:r>
      <w:r w:rsidRPr="00C34928">
        <w:rPr>
          <w:bCs/>
        </w:rPr>
        <w:t xml:space="preserve"> straipsnio 1 dalimi, </w:t>
      </w:r>
      <w:r>
        <w:rPr>
          <w:bCs/>
        </w:rPr>
        <w:t xml:space="preserve">nusprendė pradėti tyrimą </w:t>
      </w:r>
      <w:r w:rsidRPr="00C34928">
        <w:rPr>
          <w:bCs/>
        </w:rPr>
        <w:t xml:space="preserve">savo iniciatyva dėl </w:t>
      </w:r>
      <w:r w:rsidR="00A729A0">
        <w:rPr>
          <w:bCs/>
        </w:rPr>
        <w:t>Infros</w:t>
      </w:r>
      <w:r w:rsidR="00A729A0" w:rsidRPr="00C34928">
        <w:rPr>
          <w:bCs/>
        </w:rPr>
        <w:t xml:space="preserve"> </w:t>
      </w:r>
      <w:r w:rsidRPr="00C34928">
        <w:rPr>
          <w:bCs/>
        </w:rPr>
        <w:t>2021–2022  TTT galiojimo laikotarpiu</w:t>
      </w:r>
      <w:r>
        <w:rPr>
          <w:bCs/>
        </w:rPr>
        <w:t>i</w:t>
      </w:r>
      <w:r w:rsidRPr="00C34928">
        <w:rPr>
          <w:bCs/>
        </w:rPr>
        <w:t xml:space="preserve"> nustatytų užmokesčių už Pirmos ir Antros paslaugų teikimą </w:t>
      </w:r>
      <w:r>
        <w:rPr>
          <w:bCs/>
        </w:rPr>
        <w:t xml:space="preserve">ir apie jo pradėjimą </w:t>
      </w:r>
      <w:r w:rsidRPr="009B7207">
        <w:rPr>
          <w:bCs/>
        </w:rPr>
        <w:t>2021 m. rugsėjo 23 d. raštu Nr. (67.15Mr)1B-3067</w:t>
      </w:r>
      <w:r>
        <w:rPr>
          <w:bCs/>
        </w:rPr>
        <w:t xml:space="preserve"> informavo </w:t>
      </w:r>
      <w:r w:rsidR="00A729A0">
        <w:rPr>
          <w:bCs/>
        </w:rPr>
        <w:t>Infrą</w:t>
      </w:r>
      <w:r>
        <w:rPr>
          <w:bCs/>
        </w:rPr>
        <w:t xml:space="preserve">, nurodydama, kad tyrimas atliekamas už 2020 m. </w:t>
      </w:r>
      <w:r w:rsidRPr="00B87AEA">
        <w:rPr>
          <w:bCs/>
        </w:rPr>
        <w:t xml:space="preserve">sausio mėn. – 2021 m. liepos mėn. laikotarpį (toliau – Tiriamasis laikotarpis), </w:t>
      </w:r>
      <w:r w:rsidR="00AF2BE2">
        <w:rPr>
          <w:bCs/>
        </w:rPr>
        <w:t>bei</w:t>
      </w:r>
      <w:r w:rsidR="00AF2BE2" w:rsidRPr="00B87AEA">
        <w:rPr>
          <w:bCs/>
        </w:rPr>
        <w:t xml:space="preserve"> </w:t>
      </w:r>
      <w:r w:rsidRPr="00B87AEA">
        <w:rPr>
          <w:bCs/>
        </w:rPr>
        <w:t xml:space="preserve">paprašė </w:t>
      </w:r>
      <w:r w:rsidR="00A729A0">
        <w:rPr>
          <w:bCs/>
        </w:rPr>
        <w:t>Infros</w:t>
      </w:r>
      <w:r w:rsidR="00A729A0" w:rsidRPr="00B87AEA">
        <w:rPr>
          <w:bCs/>
        </w:rPr>
        <w:t xml:space="preserve"> </w:t>
      </w:r>
      <w:r w:rsidRPr="00B87AEA">
        <w:rPr>
          <w:bCs/>
        </w:rPr>
        <w:t xml:space="preserve">pateikti papildomus paaiškinimus, siekdama įvertinti: (1) ar </w:t>
      </w:r>
      <w:r w:rsidR="00A729A0">
        <w:rPr>
          <w:bCs/>
        </w:rPr>
        <w:t>Infra</w:t>
      </w:r>
      <w:r w:rsidR="00A729A0" w:rsidRPr="00B87AEA">
        <w:rPr>
          <w:bCs/>
        </w:rPr>
        <w:t xml:space="preserve"> </w:t>
      </w:r>
      <w:r w:rsidRPr="00B87AEA">
        <w:rPr>
          <w:bCs/>
        </w:rPr>
        <w:t>pagal teisės aktų reikalavimus</w:t>
      </w:r>
      <w:r>
        <w:rPr>
          <w:bCs/>
        </w:rPr>
        <w:t xml:space="preserve"> </w:t>
      </w:r>
      <w:r w:rsidRPr="006216FC">
        <w:rPr>
          <w:bCs/>
        </w:rPr>
        <w:t xml:space="preserve">privažiuojamuosius geležinkelio kelius, kaip Tarnyba nustatė, esančius už geležinkelio stoties teritorijos ribų, priskyrė geležinkelio stoties keliams ir juose teikė Pirmą paslaugą, vežėjus apmokestindamas pagal </w:t>
      </w:r>
      <w:r w:rsidR="00167662">
        <w:rPr>
          <w:bCs/>
        </w:rPr>
        <w:t>Kodekso</w:t>
      </w:r>
      <w:r w:rsidR="00167662" w:rsidRPr="006216FC">
        <w:rPr>
          <w:bCs/>
        </w:rPr>
        <w:t xml:space="preserve"> </w:t>
      </w:r>
      <w:r w:rsidRPr="006216FC">
        <w:rPr>
          <w:bCs/>
        </w:rPr>
        <w:t>30</w:t>
      </w:r>
      <w:r w:rsidRPr="000C3BEB">
        <w:rPr>
          <w:vertAlign w:val="superscript"/>
        </w:rPr>
        <w:t>4</w:t>
      </w:r>
      <w:r w:rsidRPr="006216FC">
        <w:rPr>
          <w:bCs/>
        </w:rPr>
        <w:t xml:space="preserve"> straipsnio 2 dalyje nustatytus reikalavimus; (2) ar </w:t>
      </w:r>
      <w:r w:rsidR="00A729A0">
        <w:rPr>
          <w:bCs/>
        </w:rPr>
        <w:t>Infros</w:t>
      </w:r>
      <w:r w:rsidR="00A729A0" w:rsidRPr="006216FC">
        <w:rPr>
          <w:bCs/>
        </w:rPr>
        <w:t xml:space="preserve"> </w:t>
      </w:r>
      <w:r w:rsidRPr="006216FC">
        <w:rPr>
          <w:bCs/>
        </w:rPr>
        <w:t>nuostata, kad Antra paslauga nėra teikiama, kai vagonai į geležinkelio stotį atvaromi iš tarpstočio geležinkelio kelių ir yra stumdomi (pergrupuojami) ar išformuojami geležinkelio stoties keliuose atitinka teisės aktų reikalavimus ir šie vagonai neturi būti apskaitomi ir apmokestinami kaip naudojimasis Antra paslauga.</w:t>
      </w:r>
    </w:p>
    <w:p w14:paraId="011709FC" w14:textId="7EAC08CF" w:rsidR="001A2779" w:rsidRPr="002B4E18" w:rsidRDefault="00A729A0" w:rsidP="001A2779">
      <w:pPr>
        <w:pStyle w:val="ListParagraph"/>
        <w:numPr>
          <w:ilvl w:val="0"/>
          <w:numId w:val="15"/>
        </w:numPr>
        <w:tabs>
          <w:tab w:val="left" w:pos="1134"/>
        </w:tabs>
        <w:ind w:left="0" w:firstLine="720"/>
        <w:jc w:val="both"/>
        <w:rPr>
          <w:b/>
          <w:bCs/>
          <w:color w:val="000000" w:themeColor="text1"/>
        </w:rPr>
      </w:pPr>
      <w:r>
        <w:t>Infra</w:t>
      </w:r>
      <w:r w:rsidRPr="00056932">
        <w:t xml:space="preserve"> </w:t>
      </w:r>
      <w:r w:rsidR="001A2779" w:rsidRPr="002B4E18">
        <w:t>Rašt</w:t>
      </w:r>
      <w:r w:rsidR="001A2779">
        <w:t>e</w:t>
      </w:r>
      <w:r w:rsidR="001A2779" w:rsidRPr="002B4E18">
        <w:t xml:space="preserve"> Nr. SD(LGI)-4725</w:t>
      </w:r>
      <w:r w:rsidR="001A2779" w:rsidRPr="00FD156F">
        <w:t xml:space="preserve"> </w:t>
      </w:r>
      <w:r w:rsidR="001A2779">
        <w:t>dar kartą pakartojo, kad privažiuojamųjų geležinkelio kelių priskyrimas geležinkelio stoties keliams buvo atliktas vadovaujantis TGNN 16.2 papunkčiu</w:t>
      </w:r>
      <w:r w:rsidR="00167662">
        <w:t>,</w:t>
      </w:r>
      <w:r w:rsidR="001A2779">
        <w:t xml:space="preserve"> pagal kurį geležinkelio stoties ribos yra </w:t>
      </w:r>
      <w:r w:rsidR="001A2779">
        <w:rPr>
          <w:rFonts w:eastAsia="Arial"/>
          <w:bCs/>
        </w:rPr>
        <w:t>ties</w:t>
      </w:r>
      <w:r w:rsidR="001A2779" w:rsidRPr="007343AC">
        <w:rPr>
          <w:rFonts w:eastAsia="Arial"/>
          <w:bCs/>
        </w:rPr>
        <w:t xml:space="preserve"> įleidžiamaisiais šviesoforais, kurie įrengti pagrindiniuose keliuose, įvažiuojant į geležinkelio stotį</w:t>
      </w:r>
      <w:r w:rsidR="001A2779">
        <w:rPr>
          <w:rFonts w:eastAsia="Arial"/>
          <w:bCs/>
        </w:rPr>
        <w:t xml:space="preserve">. </w:t>
      </w:r>
      <w:r>
        <w:rPr>
          <w:rFonts w:eastAsia="Arial"/>
          <w:bCs/>
        </w:rPr>
        <w:t xml:space="preserve">Infros </w:t>
      </w:r>
      <w:r w:rsidR="001A2779">
        <w:rPr>
          <w:rFonts w:eastAsia="Arial"/>
          <w:bCs/>
        </w:rPr>
        <w:t>teigimu, į</w:t>
      </w:r>
      <w:r w:rsidR="001A2779" w:rsidRPr="007343AC">
        <w:rPr>
          <w:rFonts w:eastAsia="Arial"/>
          <w:bCs/>
        </w:rPr>
        <w:t>leidžiamųjų šviesoforų įrengimas reglamentuotas TGNN</w:t>
      </w:r>
      <w:r w:rsidR="001A2779">
        <w:rPr>
          <w:rFonts w:eastAsia="Arial"/>
          <w:bCs/>
        </w:rPr>
        <w:t> </w:t>
      </w:r>
      <w:r w:rsidR="001A2779" w:rsidRPr="007343AC">
        <w:rPr>
          <w:rFonts w:eastAsia="Arial"/>
          <w:bCs/>
        </w:rPr>
        <w:t>8.1.10 papunktyje, kuriame nurodyta: „</w:t>
      </w:r>
      <w:r w:rsidR="001A2779" w:rsidRPr="007343AC">
        <w:rPr>
          <w:rFonts w:eastAsia="Arial"/>
          <w:bCs/>
          <w:i/>
          <w:iCs/>
        </w:rPr>
        <w:t>Įleidžiamieji šviesoforai turi būti įrengti ne arčiau kaip 50 m nuo pirmutinio iešmo smailių (jei priešsmailinis eismas) arba nuo riboženklio (jei pasmailinis eismas)</w:t>
      </w:r>
      <w:r w:rsidR="001A2779" w:rsidRPr="007343AC">
        <w:rPr>
          <w:rFonts w:eastAsia="Arial"/>
          <w:bCs/>
        </w:rPr>
        <w:t>“</w:t>
      </w:r>
      <w:r w:rsidR="001A2779">
        <w:rPr>
          <w:rFonts w:eastAsia="Arial"/>
          <w:bCs/>
        </w:rPr>
        <w:t>, taip pat</w:t>
      </w:r>
      <w:r w:rsidR="001A2779" w:rsidRPr="007343AC">
        <w:rPr>
          <w:rFonts w:eastAsia="Arial"/>
          <w:bCs/>
        </w:rPr>
        <w:t xml:space="preserve"> įleidžiamųjų šviesoforų paskirt</w:t>
      </w:r>
      <w:r w:rsidR="001A2779">
        <w:rPr>
          <w:rFonts w:eastAsia="Arial"/>
          <w:bCs/>
        </w:rPr>
        <w:t xml:space="preserve">is yra reglamentuota </w:t>
      </w:r>
      <w:r w:rsidR="001A2779" w:rsidRPr="007343AC">
        <w:rPr>
          <w:rFonts w:eastAsia="Arial"/>
          <w:bCs/>
        </w:rPr>
        <w:t>Geležinkelių transporto eismo signalizacijos taisyklės</w:t>
      </w:r>
      <w:r w:rsidR="001A2779">
        <w:rPr>
          <w:rFonts w:eastAsia="Arial"/>
          <w:bCs/>
        </w:rPr>
        <w:t>e</w:t>
      </w:r>
      <w:r w:rsidR="001A2779" w:rsidRPr="007343AC">
        <w:rPr>
          <w:rStyle w:val="FootnoteReference"/>
          <w:rFonts w:eastAsia="Arial"/>
          <w:bCs/>
        </w:rPr>
        <w:footnoteReference w:id="8"/>
      </w:r>
      <w:r w:rsidR="001A2779">
        <w:rPr>
          <w:rFonts w:eastAsia="Arial"/>
          <w:bCs/>
        </w:rPr>
        <w:t xml:space="preserve"> (toliau – Signalizacijos taisyklės). Papildomai </w:t>
      </w:r>
      <w:r>
        <w:rPr>
          <w:rFonts w:eastAsia="Arial"/>
          <w:bCs/>
        </w:rPr>
        <w:t xml:space="preserve">Infra </w:t>
      </w:r>
      <w:r w:rsidR="001A2779">
        <w:rPr>
          <w:rFonts w:eastAsia="Arial"/>
          <w:bCs/>
        </w:rPr>
        <w:t>paaiškino, kad</w:t>
      </w:r>
      <w:r w:rsidR="001A2779" w:rsidRPr="007343AC">
        <w:rPr>
          <w:rFonts w:eastAsia="Arial"/>
        </w:rPr>
        <w:t xml:space="preserve"> </w:t>
      </w:r>
      <w:r w:rsidR="001A2779">
        <w:rPr>
          <w:rFonts w:eastAsia="Arial"/>
        </w:rPr>
        <w:t>v</w:t>
      </w:r>
      <w:r w:rsidR="001A2779" w:rsidRPr="007343AC">
        <w:rPr>
          <w:rFonts w:eastAsia="Arial"/>
        </w:rPr>
        <w:t xml:space="preserve">isi </w:t>
      </w:r>
      <w:r w:rsidR="001A2779">
        <w:rPr>
          <w:rFonts w:eastAsia="Arial"/>
        </w:rPr>
        <w:t>S</w:t>
      </w:r>
      <w:r w:rsidR="001A2779" w:rsidRPr="007343AC">
        <w:rPr>
          <w:rFonts w:eastAsia="Arial"/>
        </w:rPr>
        <w:t xml:space="preserve">ąraše nurodyti </w:t>
      </w:r>
      <w:r w:rsidR="001A2779">
        <w:rPr>
          <w:rFonts w:eastAsia="Arial"/>
        </w:rPr>
        <w:t xml:space="preserve">privažiuojamieji </w:t>
      </w:r>
      <w:r w:rsidR="001A2779" w:rsidRPr="007343AC">
        <w:rPr>
          <w:rFonts w:eastAsia="Arial"/>
        </w:rPr>
        <w:t xml:space="preserve">geležinkelio keliai yra priskirtini </w:t>
      </w:r>
      <w:r w:rsidR="001A2779">
        <w:rPr>
          <w:rFonts w:eastAsia="Arial"/>
        </w:rPr>
        <w:t xml:space="preserve">geležinkelio </w:t>
      </w:r>
      <w:r w:rsidR="001A2779" w:rsidRPr="007343AC">
        <w:rPr>
          <w:rFonts w:eastAsia="Arial"/>
        </w:rPr>
        <w:t xml:space="preserve">stoties keliams pagal </w:t>
      </w:r>
      <w:r w:rsidR="001A2779" w:rsidRPr="007343AC">
        <w:t xml:space="preserve">TGNN 2.19 papunktyje nurodytą stoties kelių </w:t>
      </w:r>
      <w:r w:rsidR="001A2779">
        <w:t xml:space="preserve">apibrėžtį, kaip </w:t>
      </w:r>
      <w:r>
        <w:t xml:space="preserve">Infra </w:t>
      </w:r>
      <w:r w:rsidR="001A2779">
        <w:t xml:space="preserve">buvo </w:t>
      </w:r>
      <w:r w:rsidR="001A2779" w:rsidRPr="002B4E18">
        <w:rPr>
          <w:color w:val="000000" w:themeColor="text1"/>
        </w:rPr>
        <w:t>nurod</w:t>
      </w:r>
      <w:r>
        <w:rPr>
          <w:color w:val="000000" w:themeColor="text1"/>
        </w:rPr>
        <w:t>žiusi</w:t>
      </w:r>
      <w:r w:rsidR="001A2779" w:rsidRPr="002B4E18">
        <w:rPr>
          <w:color w:val="000000" w:themeColor="text1"/>
        </w:rPr>
        <w:t xml:space="preserve"> Rašte Nr.SD(LGI)-2438. </w:t>
      </w:r>
      <w:r>
        <w:rPr>
          <w:color w:val="000000" w:themeColor="text1"/>
        </w:rPr>
        <w:t>Infra</w:t>
      </w:r>
      <w:r w:rsidRPr="002B4E18">
        <w:rPr>
          <w:color w:val="000000" w:themeColor="text1"/>
        </w:rPr>
        <w:t xml:space="preserve"> </w:t>
      </w:r>
      <w:r w:rsidR="001A2779">
        <w:t xml:space="preserve">pažymėjo, kad Sujungtų kelių, kurie turėtų būti apmokestinami pagal </w:t>
      </w:r>
      <w:r w:rsidR="00167662">
        <w:t xml:space="preserve">Kodekso </w:t>
      </w:r>
      <w:r w:rsidR="001A2779">
        <w:t>30</w:t>
      </w:r>
      <w:r w:rsidR="001A2779">
        <w:rPr>
          <w:vertAlign w:val="superscript"/>
        </w:rPr>
        <w:t>4</w:t>
      </w:r>
      <w:r w:rsidR="001A2779">
        <w:t xml:space="preserve"> straipsnio 3 dalį nevaldo, t. y. tokių kelių visai </w:t>
      </w:r>
      <w:r w:rsidR="001A2779" w:rsidRPr="00961F80">
        <w:t xml:space="preserve">neturi. </w:t>
      </w:r>
      <w:r w:rsidR="001A2779" w:rsidRPr="00291D21">
        <w:t xml:space="preserve">Taip pat paaiškino, kad kelio pavadinimas „privažiuojamasis kelias“ </w:t>
      </w:r>
      <w:r w:rsidR="001A2779">
        <w:t xml:space="preserve">yra nurodomas tik geležinkelių stočių knygose, kadangi šie geležinkelio keliai tokiu pavadinimu buvo įregistruoti Lietuvos Respublikos nekilnojamojo turto registre, todėl jie negali būti laikytini privažiuojamaisiais geležinkelio keliais, kaip yra apibrėžta Kodekso 3 straipsnio 38 dalies nuostatose, taip pat privažiuojamaisiais keliais teikiamos GPĮ paslaugos, t. y. stumiami riedmenys į krovos, parangos, remonto, stovėjimo ir kitas vietas ir iš jų. </w:t>
      </w:r>
      <w:r>
        <w:t xml:space="preserve">Infra </w:t>
      </w:r>
      <w:r w:rsidR="001A2779">
        <w:t xml:space="preserve">nurodė, kad geležinkelio stotis ne visais atvejais yra GPĮ, tais atvejais, kai tai nėra tik keleivių geležinkelio stotys jose gali būti teikiamos tiek MPP, tiek GPĮ paslaugos. Papildomai </w:t>
      </w:r>
      <w:r>
        <w:rPr>
          <w:rFonts w:eastAsiaTheme="minorHAnsi"/>
          <w:bCs/>
        </w:rPr>
        <w:t xml:space="preserve">Infra </w:t>
      </w:r>
      <w:r w:rsidR="001A2779" w:rsidRPr="002B4E18">
        <w:t>Raštu Nr. SD(LGI)-4725</w:t>
      </w:r>
      <w:r w:rsidR="001A2779" w:rsidRPr="006107B7">
        <w:t xml:space="preserve"> Tarnybai</w:t>
      </w:r>
      <w:r w:rsidR="001A2779">
        <w:rPr>
          <w:rFonts w:eastAsiaTheme="minorHAnsi"/>
          <w:bCs/>
        </w:rPr>
        <w:t xml:space="preserve"> kaip pavyzdį </w:t>
      </w:r>
      <w:r w:rsidR="001A2779">
        <w:t xml:space="preserve">pateikė </w:t>
      </w:r>
      <w:r w:rsidR="001A2779">
        <w:rPr>
          <w:rFonts w:eastAsiaTheme="minorHAnsi"/>
          <w:bCs/>
        </w:rPr>
        <w:t xml:space="preserve">Rimkų geležinkelio stoties schemą, iš kurios matyti Rimkų geležinkelio stoties ribos ir </w:t>
      </w:r>
      <w:r w:rsidR="001A2779" w:rsidRPr="002B4E18">
        <w:rPr>
          <w:rFonts w:eastAsiaTheme="minorHAnsi"/>
          <w:bCs/>
          <w:color w:val="000000" w:themeColor="text1"/>
        </w:rPr>
        <w:t>privažiuojamojo geležinkelio kelio Nr. 1‘ riba ties M23 šviesoforu</w:t>
      </w:r>
      <w:r w:rsidR="001A2779">
        <w:rPr>
          <w:rFonts w:eastAsiaTheme="minorHAnsi"/>
          <w:bCs/>
          <w:color w:val="000000" w:themeColor="text1"/>
        </w:rPr>
        <w:t xml:space="preserve"> ir paaiškino, kad </w:t>
      </w:r>
      <w:r>
        <w:rPr>
          <w:rFonts w:eastAsiaTheme="minorHAnsi"/>
          <w:bCs/>
          <w:color w:val="000000" w:themeColor="text1"/>
        </w:rPr>
        <w:t xml:space="preserve">Infros </w:t>
      </w:r>
      <w:r w:rsidR="001A2779">
        <w:rPr>
          <w:rFonts w:eastAsiaTheme="minorHAnsi"/>
          <w:bCs/>
          <w:color w:val="000000" w:themeColor="text1"/>
        </w:rPr>
        <w:t>vertinimu, vežėjas atvažiavęs iš tarpstočio, pravažiavęs įleidžiamąjį šviesoforą tol, kol nekerta vėl įleidžiamojo šviesoforo, laikoma, kad yra stoties ribose. Atsižvelgiant į tai, kad atvykus Rimkų stoties privažiuojamuoju keliu Nr. 1' kito būdo įvažiuoti į tarpstotį, kaip tik pasinaudojus Rimkų stoties pagrindiniu keliu Nr. I ar Nr. II nėra, todėl privažiuojamasis kelias Nr. 1' laikytinas stoties keliu</w:t>
      </w:r>
      <w:r w:rsidR="001A2779" w:rsidRPr="002B4E18">
        <w:rPr>
          <w:rFonts w:eastAsiaTheme="minorHAnsi"/>
          <w:bCs/>
          <w:color w:val="000000" w:themeColor="text1"/>
        </w:rPr>
        <w:t>.</w:t>
      </w:r>
    </w:p>
    <w:p w14:paraId="6D2C5C4B" w14:textId="41AB8316" w:rsidR="001A2779" w:rsidRPr="001A2779" w:rsidRDefault="00A729A0" w:rsidP="001A2779">
      <w:pPr>
        <w:pStyle w:val="ListParagraph"/>
        <w:numPr>
          <w:ilvl w:val="0"/>
          <w:numId w:val="15"/>
        </w:numPr>
        <w:tabs>
          <w:tab w:val="left" w:pos="993"/>
        </w:tabs>
        <w:ind w:left="0" w:firstLine="720"/>
        <w:jc w:val="both"/>
        <w:rPr>
          <w:b/>
          <w:bCs/>
        </w:rPr>
      </w:pPr>
      <w:r>
        <w:rPr>
          <w:color w:val="000000" w:themeColor="text1"/>
        </w:rPr>
        <w:t>Infra</w:t>
      </w:r>
      <w:r w:rsidRPr="00AD3DC4">
        <w:rPr>
          <w:color w:val="000000" w:themeColor="text1"/>
        </w:rPr>
        <w:t xml:space="preserve"> </w:t>
      </w:r>
      <w:r w:rsidR="001A2779" w:rsidRPr="00AD3DC4">
        <w:rPr>
          <w:color w:val="000000" w:themeColor="text1"/>
        </w:rPr>
        <w:t xml:space="preserve">Rašte Nr. SD(LGI)-4725 </w:t>
      </w:r>
      <w:r w:rsidR="001A2779">
        <w:rPr>
          <w:color w:val="000000" w:themeColor="text1"/>
        </w:rPr>
        <w:t>pažymėjo</w:t>
      </w:r>
      <w:r w:rsidR="001A2779" w:rsidRPr="00AD3DC4">
        <w:rPr>
          <w:color w:val="000000" w:themeColor="text1"/>
        </w:rPr>
        <w:t xml:space="preserve">, kad, vadovaujantis Kodekso </w:t>
      </w:r>
      <w:r w:rsidR="001A2779" w:rsidRPr="00AD3DC4">
        <w:rPr>
          <w:color w:val="000000" w:themeColor="text1"/>
          <w:lang w:val="en-US"/>
        </w:rPr>
        <w:t>3</w:t>
      </w:r>
      <w:r w:rsidR="001A2779">
        <w:rPr>
          <w:color w:val="000000" w:themeColor="text1"/>
          <w:lang w:val="en-US"/>
        </w:rPr>
        <w:t> </w:t>
      </w:r>
      <w:r w:rsidR="001A2779" w:rsidRPr="00AD3DC4">
        <w:rPr>
          <w:color w:val="000000" w:themeColor="text1"/>
        </w:rPr>
        <w:t>straipsnio 7 dalies nuostatomis, pagal</w:t>
      </w:r>
      <w:r w:rsidR="001A2779" w:rsidRPr="00AD3DC4">
        <w:rPr>
          <w:color w:val="000000" w:themeColor="text1"/>
          <w:lang w:val="en-US"/>
        </w:rPr>
        <w:t xml:space="preserve"> </w:t>
      </w:r>
      <w:r w:rsidR="001A2779" w:rsidRPr="00AD3DC4">
        <w:rPr>
          <w:bCs/>
          <w:color w:val="000000" w:themeColor="text1"/>
        </w:rPr>
        <w:t xml:space="preserve">2019 m. lapkričio 22 d. Lietuvos valstybei nuosavybės teise priklausančio viešosios geležinkelių </w:t>
      </w:r>
      <w:r w:rsidR="001A2779" w:rsidRPr="00D91FD2">
        <w:rPr>
          <w:bCs/>
          <w:color w:val="000000"/>
        </w:rPr>
        <w:t>infrastruktūros turto, išskyrus jo užimamą valstybinę žemę, ir Lietuvos valstybei nuosavybės teise priklausančių geležinkelių paslaugų įrenginių, išskyrus jų užimamą valstybinę žemę, patikėjimo sutarties Nr. 1F-109/SUTS(LGI)-1 5.3</w:t>
      </w:r>
      <w:r w:rsidR="001A2779">
        <w:rPr>
          <w:bCs/>
          <w:color w:val="000000"/>
        </w:rPr>
        <w:t> </w:t>
      </w:r>
      <w:r w:rsidR="001A2779" w:rsidRPr="00D91FD2">
        <w:rPr>
          <w:bCs/>
          <w:color w:val="000000"/>
        </w:rPr>
        <w:t>papunk</w:t>
      </w:r>
      <w:r w:rsidR="001A2779">
        <w:rPr>
          <w:bCs/>
          <w:color w:val="000000"/>
        </w:rPr>
        <w:t>tį</w:t>
      </w:r>
      <w:r w:rsidR="001A2779">
        <w:rPr>
          <w:lang w:val="en-US"/>
        </w:rPr>
        <w:t xml:space="preserve">, </w:t>
      </w:r>
      <w:r w:rsidR="00957FC2">
        <w:t>Infrai</w:t>
      </w:r>
      <w:r w:rsidR="00957FC2" w:rsidRPr="00DB7EDE">
        <w:t xml:space="preserve"> </w:t>
      </w:r>
      <w:r w:rsidR="001A2779" w:rsidRPr="00DB7EDE">
        <w:t xml:space="preserve">perduotas turtas gali būti naudojamas tiek </w:t>
      </w:r>
      <w:r w:rsidR="001A2779">
        <w:t>MPP</w:t>
      </w:r>
      <w:r w:rsidR="001A2779" w:rsidRPr="00DB7EDE">
        <w:t xml:space="preserve">, tiek ir GPĮ paslaugoms teikti, todėl, </w:t>
      </w:r>
      <w:r w:rsidR="00390C3E">
        <w:t>Infros</w:t>
      </w:r>
      <w:r w:rsidR="00390C3E" w:rsidRPr="00DB7EDE">
        <w:t xml:space="preserve"> </w:t>
      </w:r>
      <w:r w:rsidR="001A2779" w:rsidRPr="00DB7EDE">
        <w:t>nuomone,</w:t>
      </w:r>
      <w:r w:rsidR="001A2779">
        <w:rPr>
          <w:lang w:val="en-US"/>
        </w:rPr>
        <w:t xml:space="preserve"> </w:t>
      </w:r>
      <w:r w:rsidR="001A2779">
        <w:t xml:space="preserve">manevravimas </w:t>
      </w:r>
      <w:r w:rsidR="001A2779" w:rsidRPr="00AD3DC4">
        <w:rPr>
          <w:color w:val="000000" w:themeColor="text1"/>
        </w:rPr>
        <w:t xml:space="preserve">yra atliekamas tiek viešojoje geležinkelių infrastruktūroje (toliau – infrastruktūra), tiek GPĮ. </w:t>
      </w:r>
      <w:r w:rsidR="00390C3E">
        <w:rPr>
          <w:color w:val="000000" w:themeColor="text1"/>
        </w:rPr>
        <w:t>Infra</w:t>
      </w:r>
      <w:r w:rsidR="00390C3E" w:rsidRPr="00AD3DC4">
        <w:rPr>
          <w:color w:val="000000" w:themeColor="text1"/>
        </w:rPr>
        <w:t xml:space="preserve"> </w:t>
      </w:r>
      <w:r w:rsidR="001A2779" w:rsidRPr="00AD3DC4">
        <w:rPr>
          <w:color w:val="000000" w:themeColor="text1"/>
        </w:rPr>
        <w:t xml:space="preserve">nurodė, kad atsižvelgiant į tai, jog iš tarpstočio atvykę ar į tarpstotį  išvykę traukiniai yra MPP paslaugos naudotojai, </w:t>
      </w:r>
      <w:r w:rsidR="001A2779" w:rsidRPr="00AD3DC4">
        <w:rPr>
          <w:bCs/>
          <w:color w:val="000000" w:themeColor="text1"/>
        </w:rPr>
        <w:t xml:space="preserve">geležinkelio stoties darbuotojai nefiksavo ir realiu laiku nesuvedė į VIPAS sistemą informacijos apie tai, kiek vagonų tarpstočio geležinkelio keliu vežėjai atvarė į geležinkelio stotį ir </w:t>
      </w:r>
      <w:r w:rsidR="001A2779" w:rsidRPr="00AD3DC4">
        <w:rPr>
          <w:bCs/>
          <w:color w:val="000000" w:themeColor="text1"/>
        </w:rPr>
        <w:lastRenderedPageBreak/>
        <w:t>kiek konkrečių manevravimo (ir formavimo) veiksmų atliko geležinkelio stotyje, todėl šie veiksmai nebuvo apskaitomi ir apmokestinami, kaip naudojimasis Antra paslauga</w:t>
      </w:r>
      <w:r w:rsidR="001A2779">
        <w:rPr>
          <w:bCs/>
          <w:color w:val="000000" w:themeColor="text1"/>
        </w:rPr>
        <w:t>, nes jie buvo siejami su MPP</w:t>
      </w:r>
      <w:r w:rsidR="001A2779" w:rsidRPr="00AD3DC4">
        <w:rPr>
          <w:bCs/>
          <w:color w:val="000000" w:themeColor="text1"/>
        </w:rPr>
        <w:t>.</w:t>
      </w:r>
    </w:p>
    <w:p w14:paraId="53A0B16C" w14:textId="02BDD9B3" w:rsidR="001A2779" w:rsidRPr="00BF0AF4" w:rsidRDefault="001A2779" w:rsidP="001A2779">
      <w:pPr>
        <w:pStyle w:val="ListParagraph"/>
        <w:numPr>
          <w:ilvl w:val="0"/>
          <w:numId w:val="15"/>
        </w:numPr>
        <w:tabs>
          <w:tab w:val="left" w:pos="1134"/>
        </w:tabs>
        <w:ind w:left="0" w:firstLine="720"/>
        <w:jc w:val="both"/>
        <w:rPr>
          <w:b/>
          <w:bCs/>
        </w:rPr>
      </w:pPr>
      <w:r w:rsidRPr="002761A8">
        <w:rPr>
          <w:rFonts w:eastAsiaTheme="minorHAnsi"/>
          <w:bCs/>
        </w:rPr>
        <w:t>Tarnyba,</w:t>
      </w:r>
      <w:r>
        <w:rPr>
          <w:rFonts w:eastAsiaTheme="minorHAnsi"/>
          <w:bCs/>
        </w:rPr>
        <w:t xml:space="preserve"> įvertinusi visą </w:t>
      </w:r>
      <w:r w:rsidR="00223DB4">
        <w:rPr>
          <w:rFonts w:eastAsiaTheme="minorHAnsi"/>
          <w:bCs/>
        </w:rPr>
        <w:t xml:space="preserve">Infros </w:t>
      </w:r>
      <w:r>
        <w:rPr>
          <w:rFonts w:eastAsiaTheme="minorHAnsi"/>
          <w:bCs/>
        </w:rPr>
        <w:t>Raštu Nr</w:t>
      </w:r>
      <w:r w:rsidRPr="008A462D">
        <w:rPr>
          <w:rFonts w:eastAsiaTheme="minorHAnsi"/>
          <w:bCs/>
        </w:rPr>
        <w:t xml:space="preserve">. </w:t>
      </w:r>
      <w:r w:rsidRPr="00FA22B9">
        <w:t>Nr. SD-PAJ(LGI)-27</w:t>
      </w:r>
      <w:r w:rsidRPr="00056932">
        <w:t xml:space="preserve"> </w:t>
      </w:r>
      <w:r>
        <w:t xml:space="preserve">pateiktą informaciją, nustatė, kad Tiriamuoju laikotarpiu </w:t>
      </w:r>
      <w:r w:rsidR="00223DB4">
        <w:t xml:space="preserve">Infra </w:t>
      </w:r>
      <w:r>
        <w:t>teikė Paslaugas Transachemai, AC, GG ir LTG Cargo, todėl šių pareiškėjų</w:t>
      </w:r>
      <w:r w:rsidRPr="008D24D8">
        <w:t xml:space="preserve"> </w:t>
      </w:r>
      <w:r>
        <w:t>paprašė</w:t>
      </w:r>
      <w:r>
        <w:rPr>
          <w:rStyle w:val="FootnoteReference"/>
        </w:rPr>
        <w:footnoteReference w:id="9"/>
      </w:r>
      <w:r>
        <w:t xml:space="preserve"> </w:t>
      </w:r>
      <w:r w:rsidRPr="002761A8">
        <w:rPr>
          <w:rFonts w:eastAsiaTheme="minorHAnsi"/>
          <w:bCs/>
        </w:rPr>
        <w:t xml:space="preserve">pateikti informaciją ir dokumentus apie Tiriamuoju laikotarpiu </w:t>
      </w:r>
      <w:r w:rsidR="00A30BEC">
        <w:rPr>
          <w:rFonts w:eastAsiaTheme="minorHAnsi"/>
          <w:bCs/>
        </w:rPr>
        <w:t xml:space="preserve">Infros </w:t>
      </w:r>
      <w:r>
        <w:rPr>
          <w:rFonts w:eastAsiaTheme="minorHAnsi"/>
          <w:bCs/>
        </w:rPr>
        <w:t>jiems</w:t>
      </w:r>
      <w:r w:rsidRPr="002761A8">
        <w:rPr>
          <w:rFonts w:eastAsiaTheme="minorHAnsi"/>
          <w:bCs/>
        </w:rPr>
        <w:t xml:space="preserve"> </w:t>
      </w:r>
      <w:r>
        <w:rPr>
          <w:rFonts w:eastAsiaTheme="minorHAnsi"/>
          <w:bCs/>
        </w:rPr>
        <w:t>suteiktas</w:t>
      </w:r>
      <w:r w:rsidRPr="002761A8">
        <w:rPr>
          <w:rFonts w:eastAsiaTheme="minorHAnsi"/>
          <w:bCs/>
        </w:rPr>
        <w:t xml:space="preserve"> </w:t>
      </w:r>
      <w:r>
        <w:rPr>
          <w:rFonts w:eastAsiaTheme="minorHAnsi"/>
          <w:bCs/>
        </w:rPr>
        <w:t>P</w:t>
      </w:r>
      <w:r w:rsidRPr="002761A8">
        <w:rPr>
          <w:rFonts w:eastAsiaTheme="minorHAnsi"/>
          <w:bCs/>
        </w:rPr>
        <w:t>aslaugas</w:t>
      </w:r>
      <w:r>
        <w:rPr>
          <w:rFonts w:eastAsiaTheme="minorHAnsi"/>
          <w:bCs/>
        </w:rPr>
        <w:t>.</w:t>
      </w:r>
    </w:p>
    <w:p w14:paraId="11A79557" w14:textId="4282A8C0" w:rsidR="001A2779" w:rsidRPr="001A2779" w:rsidRDefault="001A2779" w:rsidP="001A2779">
      <w:pPr>
        <w:pStyle w:val="ListParagraph"/>
        <w:numPr>
          <w:ilvl w:val="0"/>
          <w:numId w:val="15"/>
        </w:numPr>
        <w:tabs>
          <w:tab w:val="left" w:pos="993"/>
        </w:tabs>
        <w:ind w:left="0" w:firstLine="720"/>
        <w:jc w:val="both"/>
        <w:rPr>
          <w:b/>
          <w:bCs/>
        </w:rPr>
      </w:pPr>
      <w:r w:rsidRPr="002E143D">
        <w:rPr>
          <w:bCs/>
        </w:rPr>
        <w:t>Transachema</w:t>
      </w:r>
      <w:r>
        <w:rPr>
          <w:bCs/>
        </w:rPr>
        <w:t xml:space="preserve"> R</w:t>
      </w:r>
      <w:r w:rsidRPr="00FA22B9">
        <w:rPr>
          <w:bCs/>
        </w:rPr>
        <w:t>ašte Nr. TR9252/</w:t>
      </w:r>
      <w:r>
        <w:rPr>
          <w:bCs/>
        </w:rPr>
        <w:t>0</w:t>
      </w:r>
      <w:r w:rsidRPr="00FA22B9">
        <w:rPr>
          <w:bCs/>
        </w:rPr>
        <w:t>953</w:t>
      </w:r>
      <w:r w:rsidRPr="00361DDF">
        <w:rPr>
          <w:bCs/>
        </w:rPr>
        <w:t xml:space="preserve"> </w:t>
      </w:r>
      <w:r>
        <w:rPr>
          <w:bCs/>
        </w:rPr>
        <w:t xml:space="preserve">nurodė, kad Tiriamuoju laikotarpiu Paslaugomis naudojosi Gaižiūnų geležinkelio stotyje (jos ribose). Paslaugas Transachema iš </w:t>
      </w:r>
      <w:r w:rsidR="00A30BEC">
        <w:rPr>
          <w:bCs/>
        </w:rPr>
        <w:t xml:space="preserve">Infros </w:t>
      </w:r>
      <w:r>
        <w:rPr>
          <w:bCs/>
        </w:rPr>
        <w:t xml:space="preserve">užsakydavo Gaižiūnų geležinkelio stoties budėtojui el. paštu pateikdama prašymą dėl prieigos prie GPĮ ir naudojimosi Paslaugomis. Atitinkamai pažymėjo, kad pagal Transachemos su LTG Cargo 2019 m. gruodžio 11 d. sudarytą Vežimų organizavimo, krovinių priėmimo – perdavimo ir papildomų paslaugų teikimo sutartį </w:t>
      </w:r>
      <w:r w:rsidR="00040439">
        <w:rPr>
          <w:bCs/>
        </w:rPr>
        <w:t>&lt;...&gt;</w:t>
      </w:r>
      <w:r>
        <w:rPr>
          <w:bCs/>
        </w:rPr>
        <w:t xml:space="preserve"> būtent LTG Cargo darbuotojas nurodo, kuriuose konkrečiai Gaižiūnų geležinkelio stoties keliuose reikia užsakyti Paslaugas. Transachema atkreipė dėmesį į tai, kad Tiriamuoju laikotarpiu </w:t>
      </w:r>
      <w:r w:rsidR="00A30BEC">
        <w:rPr>
          <w:bCs/>
        </w:rPr>
        <w:t xml:space="preserve">Infra </w:t>
      </w:r>
      <w:r>
        <w:rPr>
          <w:bCs/>
        </w:rPr>
        <w:t>Antros paslaugos užmokestį 2020 m. taikė visam varomam vagonų kiekiui, nors faktiškai traukinio suformavimo ar išformavimo ir manevravimo darbų Transachema nevykdė, o 2021 m. – tik už faktiškai atliktus formavimo darbus.</w:t>
      </w:r>
      <w:r>
        <w:rPr>
          <w:rFonts w:eastAsiaTheme="minorHAnsi"/>
        </w:rPr>
        <w:t xml:space="preserve"> </w:t>
      </w:r>
      <w:r w:rsidRPr="005D083F">
        <w:rPr>
          <w:bCs/>
        </w:rPr>
        <w:t>T</w:t>
      </w:r>
      <w:r w:rsidRPr="00641E31">
        <w:rPr>
          <w:bCs/>
        </w:rPr>
        <w:t xml:space="preserve">arnyba, įvertinusi Transachemos pateiktą informaciją nustatė, kad </w:t>
      </w:r>
      <w:r w:rsidRPr="00641E31">
        <w:rPr>
          <w:rFonts w:eastAsiaTheme="minorHAnsi"/>
        </w:rPr>
        <w:t xml:space="preserve">Tiriamuoju laikotarpiu </w:t>
      </w:r>
      <w:r w:rsidR="00A30BEC">
        <w:rPr>
          <w:rFonts w:eastAsiaTheme="minorHAnsi"/>
        </w:rPr>
        <w:t>Infra</w:t>
      </w:r>
      <w:r w:rsidR="00A30BEC" w:rsidRPr="00641E31">
        <w:rPr>
          <w:rFonts w:eastAsiaTheme="minorHAnsi"/>
        </w:rPr>
        <w:t xml:space="preserve"> </w:t>
      </w:r>
      <w:r w:rsidRPr="00641E31">
        <w:rPr>
          <w:rFonts w:eastAsiaTheme="minorHAnsi"/>
        </w:rPr>
        <w:t xml:space="preserve">šiai įmonei apskaitė </w:t>
      </w:r>
      <w:r w:rsidR="00040439">
        <w:rPr>
          <w:rFonts w:eastAsiaTheme="minorHAnsi"/>
        </w:rPr>
        <w:t> &lt;...&gt;</w:t>
      </w:r>
      <w:r w:rsidRPr="00641E31">
        <w:rPr>
          <w:rFonts w:eastAsiaTheme="minorHAnsi"/>
        </w:rPr>
        <w:t xml:space="preserve"> vienetų (skaičiuojant vagonų kilometrais) Pirmos paslaugos iš viso už </w:t>
      </w:r>
      <w:r w:rsidR="00040439">
        <w:rPr>
          <w:rFonts w:eastAsiaTheme="minorHAnsi"/>
          <w:lang w:val="en-US"/>
        </w:rPr>
        <w:t>&lt;…&gt;</w:t>
      </w:r>
      <w:r w:rsidRPr="00641E31">
        <w:rPr>
          <w:rFonts w:eastAsiaTheme="minorHAnsi"/>
          <w:lang w:val="en-US"/>
        </w:rPr>
        <w:t xml:space="preserve"> Eur be PVM ir </w:t>
      </w:r>
      <w:r w:rsidR="00040439">
        <w:rPr>
          <w:rFonts w:eastAsiaTheme="minorHAnsi"/>
        </w:rPr>
        <w:t> &lt;...&gt;</w:t>
      </w:r>
      <w:r w:rsidRPr="00641E31">
        <w:rPr>
          <w:rFonts w:eastAsiaTheme="minorHAnsi"/>
        </w:rPr>
        <w:t xml:space="preserve"> vienetų (skaičiuojant vagonais) Antros paslaugos iš viso už </w:t>
      </w:r>
      <w:r w:rsidR="00040439">
        <w:rPr>
          <w:rFonts w:eastAsiaTheme="minorHAnsi"/>
        </w:rPr>
        <w:t xml:space="preserve">&lt;...&gt; </w:t>
      </w:r>
      <w:r w:rsidRPr="00641E31">
        <w:rPr>
          <w:rFonts w:eastAsiaTheme="minorHAnsi"/>
        </w:rPr>
        <w:t>Eur be PVM.</w:t>
      </w:r>
    </w:p>
    <w:p w14:paraId="47B2C5F7" w14:textId="2990AC89" w:rsidR="001A2779" w:rsidRPr="005D083F" w:rsidRDefault="001A2779" w:rsidP="001A2779">
      <w:pPr>
        <w:pStyle w:val="Default"/>
        <w:numPr>
          <w:ilvl w:val="0"/>
          <w:numId w:val="15"/>
        </w:numPr>
        <w:tabs>
          <w:tab w:val="left" w:pos="1134"/>
        </w:tabs>
        <w:ind w:left="0" w:firstLine="720"/>
        <w:jc w:val="both"/>
        <w:rPr>
          <w:rFonts w:eastAsiaTheme="minorHAnsi"/>
          <w:kern w:val="0"/>
          <w:lang w:eastAsia="en-US"/>
        </w:rPr>
      </w:pPr>
      <w:r>
        <w:rPr>
          <w:rFonts w:eastAsiaTheme="minorHAnsi"/>
          <w:kern w:val="0"/>
          <w:lang w:eastAsia="en-US"/>
        </w:rPr>
        <w:t>Papildomai</w:t>
      </w:r>
      <w:r>
        <w:rPr>
          <w:rFonts w:eastAsiaTheme="minorHAnsi"/>
          <w:color w:val="auto"/>
          <w:kern w:val="0"/>
          <w:lang w:eastAsia="en-US"/>
        </w:rPr>
        <w:t xml:space="preserve"> </w:t>
      </w:r>
      <w:r w:rsidRPr="009C652B">
        <w:rPr>
          <w:rFonts w:eastAsiaTheme="minorHAnsi"/>
          <w:color w:val="auto"/>
          <w:kern w:val="0"/>
          <w:lang w:eastAsia="en-US"/>
        </w:rPr>
        <w:t xml:space="preserve">Transachema Raštu </w:t>
      </w:r>
      <w:r w:rsidRPr="009C652B">
        <w:rPr>
          <w:bCs/>
          <w:color w:val="auto"/>
        </w:rPr>
        <w:t>Nr. TR-9252/1049 pateikė</w:t>
      </w:r>
      <w:r>
        <w:rPr>
          <w:bCs/>
          <w:color w:val="auto"/>
        </w:rPr>
        <w:t xml:space="preserve"> Tarnybai informaciją, kad </w:t>
      </w:r>
      <w:r w:rsidRPr="009C652B">
        <w:rPr>
          <w:bCs/>
          <w:color w:val="auto"/>
        </w:rPr>
        <w:t xml:space="preserve"> </w:t>
      </w:r>
      <w:r w:rsidR="00747DDC">
        <w:rPr>
          <w:bCs/>
          <w:color w:val="auto"/>
        </w:rPr>
        <w:t xml:space="preserve">Infra </w:t>
      </w:r>
      <w:r>
        <w:rPr>
          <w:bCs/>
          <w:color w:val="auto"/>
        </w:rPr>
        <w:t>2021 m. lapkričio 15 d. raštu Nr. SD(LGI)-5066 informavo T</w:t>
      </w:r>
      <w:r w:rsidR="002662EA">
        <w:rPr>
          <w:bCs/>
          <w:color w:val="auto"/>
        </w:rPr>
        <w:t>r</w:t>
      </w:r>
      <w:r>
        <w:rPr>
          <w:bCs/>
          <w:color w:val="auto"/>
        </w:rPr>
        <w:t xml:space="preserve">ansachemą, kad </w:t>
      </w:r>
      <w:r w:rsidRPr="009C652B">
        <w:rPr>
          <w:bCs/>
          <w:color w:val="auto"/>
        </w:rPr>
        <w:t>2020</w:t>
      </w:r>
      <w:r>
        <w:rPr>
          <w:bCs/>
          <w:color w:val="auto"/>
        </w:rPr>
        <w:t> </w:t>
      </w:r>
      <w:r w:rsidRPr="009C652B">
        <w:rPr>
          <w:bCs/>
          <w:color w:val="auto"/>
        </w:rPr>
        <w:t>m. rugpjūčio</w:t>
      </w:r>
      <w:r>
        <w:rPr>
          <w:bCs/>
          <w:color w:val="auto"/>
        </w:rPr>
        <w:t>–</w:t>
      </w:r>
      <w:r w:rsidRPr="009C652B">
        <w:rPr>
          <w:bCs/>
          <w:color w:val="auto"/>
        </w:rPr>
        <w:t>gruodžio mėn. laikotarpi</w:t>
      </w:r>
      <w:r>
        <w:rPr>
          <w:bCs/>
          <w:color w:val="auto"/>
        </w:rPr>
        <w:t xml:space="preserve">u buvo nustatyti neteisingai apskaityti Antros paslaugos kiekiai, todėl Transachemai už minėtą laikotarpį nustatyta grąžintina </w:t>
      </w:r>
      <w:r w:rsidR="00040439">
        <w:rPr>
          <w:bCs/>
          <w:color w:val="auto"/>
        </w:rPr>
        <w:t>&lt;...&gt;</w:t>
      </w:r>
      <w:r>
        <w:rPr>
          <w:bCs/>
          <w:color w:val="auto"/>
        </w:rPr>
        <w:t xml:space="preserve"> Eur </w:t>
      </w:r>
      <w:r w:rsidR="00EF7BC2">
        <w:rPr>
          <w:bCs/>
          <w:color w:val="auto"/>
        </w:rPr>
        <w:t xml:space="preserve">be PVM </w:t>
      </w:r>
      <w:r>
        <w:rPr>
          <w:bCs/>
          <w:color w:val="auto"/>
        </w:rPr>
        <w:t xml:space="preserve">suma už nekorektiškai apskaitytus ir apmokestintus Antros paslaugos kiekius. Transachema </w:t>
      </w:r>
      <w:r w:rsidRPr="009C652B">
        <w:rPr>
          <w:bCs/>
          <w:color w:val="auto"/>
        </w:rPr>
        <w:t>2021 m. gruodžio 3</w:t>
      </w:r>
      <w:r>
        <w:rPr>
          <w:bCs/>
          <w:color w:val="auto"/>
        </w:rPr>
        <w:t> </w:t>
      </w:r>
      <w:r w:rsidRPr="009C652B">
        <w:rPr>
          <w:bCs/>
          <w:color w:val="auto"/>
        </w:rPr>
        <w:t>d. rašt</w:t>
      </w:r>
      <w:r>
        <w:rPr>
          <w:bCs/>
          <w:color w:val="auto"/>
        </w:rPr>
        <w:t>u</w:t>
      </w:r>
      <w:r w:rsidRPr="009C652B">
        <w:rPr>
          <w:bCs/>
          <w:color w:val="auto"/>
        </w:rPr>
        <w:t xml:space="preserve"> Nr</w:t>
      </w:r>
      <w:r>
        <w:rPr>
          <w:bCs/>
          <w:color w:val="auto"/>
        </w:rPr>
        <w:t>.</w:t>
      </w:r>
      <w:r w:rsidRPr="009C652B">
        <w:rPr>
          <w:bCs/>
          <w:color w:val="auto"/>
        </w:rPr>
        <w:t xml:space="preserve"> TR-9252-1003</w:t>
      </w:r>
      <w:r>
        <w:rPr>
          <w:bCs/>
          <w:color w:val="auto"/>
        </w:rPr>
        <w:t xml:space="preserve"> </w:t>
      </w:r>
      <w:r w:rsidR="00747DDC">
        <w:rPr>
          <w:bCs/>
          <w:color w:val="auto"/>
        </w:rPr>
        <w:t>Infra</w:t>
      </w:r>
      <w:r w:rsidR="00747DDC" w:rsidRPr="009C652B">
        <w:rPr>
          <w:bCs/>
          <w:color w:val="auto"/>
        </w:rPr>
        <w:t xml:space="preserve">i </w:t>
      </w:r>
      <w:r w:rsidRPr="009C652B">
        <w:rPr>
          <w:bCs/>
          <w:color w:val="auto"/>
        </w:rPr>
        <w:t xml:space="preserve">nurodė, kad </w:t>
      </w:r>
      <w:r>
        <w:rPr>
          <w:bCs/>
          <w:color w:val="auto"/>
        </w:rPr>
        <w:t>ji</w:t>
      </w:r>
      <w:r w:rsidRPr="009C652B">
        <w:rPr>
          <w:bCs/>
          <w:color w:val="auto"/>
        </w:rPr>
        <w:t xml:space="preserve"> sutinka su </w:t>
      </w:r>
      <w:r w:rsidR="00747DDC">
        <w:rPr>
          <w:bCs/>
          <w:color w:val="auto"/>
        </w:rPr>
        <w:t>Infros</w:t>
      </w:r>
      <w:r w:rsidR="00747DDC" w:rsidRPr="009C652B">
        <w:rPr>
          <w:bCs/>
          <w:color w:val="auto"/>
        </w:rPr>
        <w:t xml:space="preserve"> </w:t>
      </w:r>
      <w:r w:rsidRPr="009C652B">
        <w:rPr>
          <w:bCs/>
          <w:color w:val="auto"/>
        </w:rPr>
        <w:t>2020</w:t>
      </w:r>
      <w:r>
        <w:rPr>
          <w:bCs/>
          <w:color w:val="auto"/>
        </w:rPr>
        <w:t> </w:t>
      </w:r>
      <w:r w:rsidRPr="009C652B">
        <w:rPr>
          <w:bCs/>
          <w:color w:val="auto"/>
        </w:rPr>
        <w:t>m. rugpjūčio</w:t>
      </w:r>
      <w:r>
        <w:rPr>
          <w:bCs/>
          <w:color w:val="auto"/>
        </w:rPr>
        <w:t>–</w:t>
      </w:r>
      <w:r w:rsidRPr="009C652B">
        <w:rPr>
          <w:bCs/>
          <w:color w:val="auto"/>
        </w:rPr>
        <w:t>gruodžio mėn. laikotarpi</w:t>
      </w:r>
      <w:r>
        <w:rPr>
          <w:bCs/>
          <w:color w:val="auto"/>
        </w:rPr>
        <w:t>u</w:t>
      </w:r>
      <w:r w:rsidRPr="009C652B">
        <w:rPr>
          <w:bCs/>
          <w:color w:val="auto"/>
        </w:rPr>
        <w:t xml:space="preserve"> </w:t>
      </w:r>
      <w:r>
        <w:rPr>
          <w:bCs/>
          <w:color w:val="auto"/>
        </w:rPr>
        <w:t>skaičiavimais</w:t>
      </w:r>
      <w:r w:rsidRPr="009C652B">
        <w:rPr>
          <w:bCs/>
          <w:color w:val="auto"/>
        </w:rPr>
        <w:t xml:space="preserve"> dėl neteisingai apskaityt</w:t>
      </w:r>
      <w:r>
        <w:rPr>
          <w:bCs/>
          <w:color w:val="auto"/>
        </w:rPr>
        <w:t>ų</w:t>
      </w:r>
      <w:r w:rsidRPr="009C652B">
        <w:rPr>
          <w:bCs/>
          <w:color w:val="auto"/>
        </w:rPr>
        <w:t xml:space="preserve"> Antros paslaugos kiekių, tačiau </w:t>
      </w:r>
      <w:r>
        <w:rPr>
          <w:bCs/>
          <w:color w:val="auto"/>
        </w:rPr>
        <w:t>pažymėjo</w:t>
      </w:r>
      <w:r w:rsidRPr="009C652B">
        <w:rPr>
          <w:bCs/>
          <w:color w:val="auto"/>
        </w:rPr>
        <w:t xml:space="preserve">, kad </w:t>
      </w:r>
      <w:r w:rsidR="00747DDC">
        <w:rPr>
          <w:bCs/>
          <w:color w:val="auto"/>
        </w:rPr>
        <w:t>Infra</w:t>
      </w:r>
      <w:r w:rsidR="00747DDC" w:rsidRPr="009C652B">
        <w:rPr>
          <w:bCs/>
          <w:color w:val="auto"/>
        </w:rPr>
        <w:t xml:space="preserve"> </w:t>
      </w:r>
      <w:r w:rsidRPr="009C652B">
        <w:rPr>
          <w:bCs/>
          <w:color w:val="auto"/>
        </w:rPr>
        <w:t>pagal nustatytų neteisingų kiekių apskaičiavimo principus, tur</w:t>
      </w:r>
      <w:r>
        <w:rPr>
          <w:bCs/>
          <w:color w:val="auto"/>
        </w:rPr>
        <w:t>ėtų</w:t>
      </w:r>
      <w:r w:rsidRPr="009C652B">
        <w:rPr>
          <w:bCs/>
          <w:color w:val="auto"/>
        </w:rPr>
        <w:t xml:space="preserve"> perskaičiuoti </w:t>
      </w:r>
      <w:r>
        <w:rPr>
          <w:bCs/>
          <w:color w:val="auto"/>
        </w:rPr>
        <w:t xml:space="preserve">ir </w:t>
      </w:r>
      <w:r w:rsidRPr="009C652B">
        <w:rPr>
          <w:bCs/>
          <w:color w:val="auto"/>
        </w:rPr>
        <w:t>nuo 2018 m. gegužės 25 d.</w:t>
      </w:r>
      <w:r>
        <w:rPr>
          <w:bCs/>
          <w:color w:val="auto"/>
        </w:rPr>
        <w:t xml:space="preserve"> iki 2020 m. rugpjūčio mėn. teiktos Antros paslaugos kiekius</w:t>
      </w:r>
      <w:r w:rsidRPr="009C652B">
        <w:rPr>
          <w:bCs/>
          <w:color w:val="auto"/>
        </w:rPr>
        <w:t>, kadangi</w:t>
      </w:r>
      <w:r>
        <w:rPr>
          <w:bCs/>
          <w:color w:val="auto"/>
        </w:rPr>
        <w:t>, Transachemos vertinimu, nekorektiškas šios paslaugos kiekių apskaitymas buvo vykdomas</w:t>
      </w:r>
      <w:r w:rsidRPr="009C652B">
        <w:rPr>
          <w:bCs/>
          <w:color w:val="auto"/>
        </w:rPr>
        <w:t xml:space="preserve"> nuo 2018</w:t>
      </w:r>
      <w:r>
        <w:rPr>
          <w:bCs/>
          <w:color w:val="auto"/>
        </w:rPr>
        <w:t> </w:t>
      </w:r>
      <w:r w:rsidRPr="009C652B">
        <w:rPr>
          <w:bCs/>
          <w:color w:val="auto"/>
        </w:rPr>
        <w:t>m. gegužės 25</w:t>
      </w:r>
      <w:r>
        <w:rPr>
          <w:bCs/>
          <w:color w:val="auto"/>
        </w:rPr>
        <w:t> </w:t>
      </w:r>
      <w:r w:rsidRPr="009C652B">
        <w:rPr>
          <w:bCs/>
          <w:color w:val="auto"/>
        </w:rPr>
        <w:t xml:space="preserve">d. </w:t>
      </w:r>
    </w:p>
    <w:p w14:paraId="58171A3F" w14:textId="26E905C1" w:rsidR="00A16C43" w:rsidRPr="00A16C43" w:rsidRDefault="001A2779" w:rsidP="00322CC9">
      <w:pPr>
        <w:pStyle w:val="Default"/>
        <w:numPr>
          <w:ilvl w:val="0"/>
          <w:numId w:val="15"/>
        </w:numPr>
        <w:tabs>
          <w:tab w:val="left" w:pos="1134"/>
        </w:tabs>
        <w:ind w:left="0" w:firstLine="720"/>
        <w:jc w:val="both"/>
        <w:rPr>
          <w:rFonts w:eastAsiaTheme="minorHAnsi"/>
          <w:kern w:val="0"/>
          <w:lang w:eastAsia="en-US"/>
        </w:rPr>
      </w:pPr>
      <w:r>
        <w:rPr>
          <w:color w:val="000000" w:themeColor="text1"/>
          <w:lang w:val="en-US"/>
        </w:rPr>
        <w:t>LTG Cargo R</w:t>
      </w:r>
      <w:r w:rsidRPr="00C34928">
        <w:rPr>
          <w:color w:val="000000" w:themeColor="text1"/>
          <w:lang w:val="en-US"/>
        </w:rPr>
        <w:t>a</w:t>
      </w:r>
      <w:r w:rsidRPr="00C34928">
        <w:rPr>
          <w:color w:val="000000" w:themeColor="text1"/>
        </w:rPr>
        <w:t>št</w:t>
      </w:r>
      <w:r>
        <w:rPr>
          <w:color w:val="000000" w:themeColor="text1"/>
        </w:rPr>
        <w:t>e</w:t>
      </w:r>
      <w:r w:rsidRPr="00C34928">
        <w:rPr>
          <w:color w:val="000000" w:themeColor="text1"/>
        </w:rPr>
        <w:t xml:space="preserve"> Nr. </w:t>
      </w:r>
      <w:r w:rsidRPr="000061F8">
        <w:rPr>
          <w:color w:val="000000" w:themeColor="text1"/>
        </w:rPr>
        <w:t>SD(CARGO)-</w:t>
      </w:r>
      <w:r w:rsidRPr="000061F8">
        <w:rPr>
          <w:color w:val="000000" w:themeColor="text1"/>
          <w:lang w:val="en-US"/>
        </w:rPr>
        <w:t>4663</w:t>
      </w:r>
      <w:r>
        <w:rPr>
          <w:color w:val="000000" w:themeColor="text1"/>
          <w:lang w:val="en-US"/>
        </w:rPr>
        <w:t xml:space="preserve"> </w:t>
      </w:r>
      <w:r>
        <w:rPr>
          <w:color w:val="000000" w:themeColor="text1"/>
        </w:rPr>
        <w:t>Tarnybai nurodė</w:t>
      </w:r>
      <w:r w:rsidRPr="006204E5">
        <w:rPr>
          <w:color w:val="000000" w:themeColor="text1"/>
        </w:rPr>
        <w:t>, kad</w:t>
      </w:r>
      <w:r>
        <w:rPr>
          <w:color w:val="000000" w:themeColor="text1"/>
          <w:lang w:val="en-US"/>
        </w:rPr>
        <w:t xml:space="preserve"> </w:t>
      </w:r>
      <w:r w:rsidRPr="006204E5">
        <w:rPr>
          <w:color w:val="000000" w:themeColor="text1"/>
        </w:rPr>
        <w:t>Pirma paslauga užsakoma</w:t>
      </w:r>
      <w:r>
        <w:rPr>
          <w:color w:val="000000" w:themeColor="text1"/>
        </w:rPr>
        <w:t xml:space="preserve"> siunčiant prašymą atitinkamu el. paštu </w:t>
      </w:r>
      <w:r w:rsidR="00747DDC">
        <w:rPr>
          <w:color w:val="000000" w:themeColor="text1"/>
        </w:rPr>
        <w:t>Infrai</w:t>
      </w:r>
      <w:r>
        <w:rPr>
          <w:color w:val="000000" w:themeColor="text1"/>
        </w:rPr>
        <w:t xml:space="preserve">, kuriame nurodomas pageidaujamas šios paslaugos suteikimo laikas, geležinkelio stotis, geležinkelio kelių, į kuriuos bei iš kurių ketinama vežti, numeriai. LTG Cargo pažymėjo, kad Pirma paslauga yra teikiama </w:t>
      </w:r>
      <w:r w:rsidR="00747DDC">
        <w:rPr>
          <w:color w:val="000000" w:themeColor="text1"/>
        </w:rPr>
        <w:t xml:space="preserve">Infros </w:t>
      </w:r>
      <w:r>
        <w:rPr>
          <w:color w:val="000000" w:themeColor="text1"/>
        </w:rPr>
        <w:t xml:space="preserve">valdomuose geležinkelio keliuose nuo geležinkelio stoties ašies iki </w:t>
      </w:r>
      <w:r w:rsidR="00747DDC">
        <w:rPr>
          <w:color w:val="000000" w:themeColor="text1"/>
        </w:rPr>
        <w:t xml:space="preserve">Infros </w:t>
      </w:r>
      <w:r>
        <w:rPr>
          <w:color w:val="000000" w:themeColor="text1"/>
        </w:rPr>
        <w:t>valdomo GPĮ priskirto privažiuojamojo ar jungiamojo geležinkelio kelio ribos pabaigos ir nuvažiuotas atstumas nustatomas pagal atstumus nuo geležinkelio stoties ašies iki infrastruktūros ribos.</w:t>
      </w:r>
      <w:r w:rsidRPr="006204E5">
        <w:rPr>
          <w:color w:val="000000" w:themeColor="text1"/>
        </w:rPr>
        <w:t xml:space="preserve"> </w:t>
      </w:r>
      <w:r>
        <w:rPr>
          <w:color w:val="000000" w:themeColor="text1"/>
        </w:rPr>
        <w:t xml:space="preserve">Papildomai LTG Cargo nurodė, kad Antra paslauga suteikiama </w:t>
      </w:r>
      <w:r w:rsidR="00215A5A">
        <w:rPr>
          <w:color w:val="000000" w:themeColor="text1"/>
        </w:rPr>
        <w:t xml:space="preserve">Infros </w:t>
      </w:r>
      <w:r>
        <w:rPr>
          <w:color w:val="000000" w:themeColor="text1"/>
        </w:rPr>
        <w:t xml:space="preserve">valdomuose GPĮ – kelynuose ir keliuose, traukinių formavimo ir manevravimo įrenginiuose. LTG Cargo pažymėjo, </w:t>
      </w:r>
      <w:r w:rsidRPr="007A3174">
        <w:rPr>
          <w:color w:val="000000" w:themeColor="text1"/>
        </w:rPr>
        <w:t xml:space="preserve">kad </w:t>
      </w:r>
      <w:r>
        <w:rPr>
          <w:bCs/>
          <w:color w:val="000000" w:themeColor="text1"/>
        </w:rPr>
        <w:t>k</w:t>
      </w:r>
      <w:r w:rsidRPr="006204E5">
        <w:rPr>
          <w:bCs/>
          <w:color w:val="000000" w:themeColor="text1"/>
        </w:rPr>
        <w:t>ai traukinys tarpstočio keliais atvyksta į geležinkelio stotį ir geležinkelio stotyje atkabina vien</w:t>
      </w:r>
      <w:r>
        <w:rPr>
          <w:bCs/>
          <w:color w:val="000000" w:themeColor="text1"/>
        </w:rPr>
        <w:t>ą</w:t>
      </w:r>
      <w:r w:rsidRPr="006204E5">
        <w:rPr>
          <w:bCs/>
          <w:color w:val="000000" w:themeColor="text1"/>
        </w:rPr>
        <w:t xml:space="preserve"> dal</w:t>
      </w:r>
      <w:r>
        <w:rPr>
          <w:bCs/>
          <w:color w:val="000000" w:themeColor="text1"/>
        </w:rPr>
        <w:t>į</w:t>
      </w:r>
      <w:r w:rsidRPr="006204E5">
        <w:rPr>
          <w:bCs/>
          <w:color w:val="000000" w:themeColor="text1"/>
        </w:rPr>
        <w:t xml:space="preserve"> vagonų, kuriuos vėliau kiti traukiniai pristato į kitas geležinkelio stotis, tuomet neužsakoma jokia paslauga</w:t>
      </w:r>
      <w:r>
        <w:rPr>
          <w:bCs/>
          <w:color w:val="000000" w:themeColor="text1"/>
        </w:rPr>
        <w:t xml:space="preserve">. LTG Cargo teigimu, </w:t>
      </w:r>
      <w:r w:rsidRPr="006204E5">
        <w:rPr>
          <w:bCs/>
          <w:color w:val="000000" w:themeColor="text1"/>
        </w:rPr>
        <w:t xml:space="preserve">Antra paslauga užsakoma </w:t>
      </w:r>
      <w:r>
        <w:rPr>
          <w:bCs/>
          <w:color w:val="000000" w:themeColor="text1"/>
        </w:rPr>
        <w:t xml:space="preserve">tik </w:t>
      </w:r>
      <w:r w:rsidRPr="006204E5">
        <w:rPr>
          <w:bCs/>
          <w:color w:val="000000" w:themeColor="text1"/>
        </w:rPr>
        <w:t>tais atvejais, kai vagon</w:t>
      </w:r>
      <w:r>
        <w:rPr>
          <w:bCs/>
          <w:color w:val="000000" w:themeColor="text1"/>
        </w:rPr>
        <w:t>us reikia varyti</w:t>
      </w:r>
      <w:r w:rsidRPr="006204E5">
        <w:rPr>
          <w:bCs/>
          <w:color w:val="000000" w:themeColor="text1"/>
        </w:rPr>
        <w:t xml:space="preserve"> iš geležinkelio stoties į privažiuojamuosius </w:t>
      </w:r>
      <w:r>
        <w:rPr>
          <w:bCs/>
          <w:color w:val="000000" w:themeColor="text1"/>
        </w:rPr>
        <w:t xml:space="preserve">geležinkelio </w:t>
      </w:r>
      <w:r w:rsidRPr="006204E5">
        <w:rPr>
          <w:bCs/>
          <w:color w:val="000000" w:themeColor="text1"/>
        </w:rPr>
        <w:t>kelius.</w:t>
      </w:r>
      <w:r w:rsidR="00322CC9">
        <w:rPr>
          <w:bCs/>
          <w:color w:val="000000" w:themeColor="text1"/>
        </w:rPr>
        <w:t xml:space="preserve"> </w:t>
      </w:r>
    </w:p>
    <w:p w14:paraId="477E1262" w14:textId="7D593F9F" w:rsidR="00322CC9" w:rsidRPr="002644EE" w:rsidRDefault="00322CC9" w:rsidP="00322CC9">
      <w:pPr>
        <w:pStyle w:val="Default"/>
        <w:numPr>
          <w:ilvl w:val="0"/>
          <w:numId w:val="15"/>
        </w:numPr>
        <w:tabs>
          <w:tab w:val="left" w:pos="1134"/>
        </w:tabs>
        <w:ind w:left="0" w:firstLine="720"/>
        <w:jc w:val="both"/>
        <w:rPr>
          <w:rFonts w:eastAsiaTheme="minorHAnsi"/>
          <w:kern w:val="0"/>
          <w:lang w:eastAsia="en-US"/>
        </w:rPr>
      </w:pPr>
      <w:r w:rsidRPr="00B50027">
        <w:rPr>
          <w:bCs/>
          <w:color w:val="000000" w:themeColor="text1"/>
        </w:rPr>
        <w:t xml:space="preserve">AC Rašte Nr. 24-259 </w:t>
      </w:r>
      <w:r>
        <w:rPr>
          <w:bCs/>
        </w:rPr>
        <w:t xml:space="preserve">nurodė, kad Pirma paslauga užsakoma siunčiant </w:t>
      </w:r>
      <w:r w:rsidR="00215A5A">
        <w:rPr>
          <w:bCs/>
        </w:rPr>
        <w:t xml:space="preserve">Infros </w:t>
      </w:r>
      <w:r>
        <w:rPr>
          <w:bCs/>
        </w:rPr>
        <w:t xml:space="preserve">atstovui nustatytos formos paslaugų paraišką. Pirma paslauga AC yra teikiama Alkiškių geležinkelio stoties jungiamajame geležinkelio kelyje Nr. 3, Alkiškių geležinkelio stoties keliuose Nr. 1 ir Nr. 2 bei Akmenės geležinkelio stoties keliuose. AC nurodė, kad </w:t>
      </w:r>
      <w:r w:rsidR="00AB0A84">
        <w:rPr>
          <w:bCs/>
        </w:rPr>
        <w:t xml:space="preserve">iki 2021 m. balandžio mėnesio </w:t>
      </w:r>
      <w:r w:rsidR="00950C14">
        <w:rPr>
          <w:bCs/>
        </w:rPr>
        <w:t xml:space="preserve">Infra </w:t>
      </w:r>
      <w:r>
        <w:rPr>
          <w:bCs/>
        </w:rPr>
        <w:t>jį apmokestino už Antros paslaugos naudojimą visais atvejais, kai būdavo atvaromas ir atkabinamas vagonų sąstatas į Akmenės geležinkelio stotį, ir važiuojama į kitą geležinkelio stoties kelią prisikabinti išvežimui paruošto vagonų sąstato.</w:t>
      </w:r>
      <w:r>
        <w:rPr>
          <w:rFonts w:eastAsiaTheme="minorHAnsi"/>
          <w:kern w:val="0"/>
          <w:lang w:eastAsia="en-US"/>
        </w:rPr>
        <w:t xml:space="preserve"> Papildomai </w:t>
      </w:r>
      <w:r w:rsidRPr="00B50027">
        <w:rPr>
          <w:bCs/>
          <w:color w:val="000000" w:themeColor="text1"/>
        </w:rPr>
        <w:t>AC Raštu Nr. 24-280</w:t>
      </w:r>
      <w:r>
        <w:rPr>
          <w:bCs/>
          <w:color w:val="000000" w:themeColor="text1"/>
        </w:rPr>
        <w:t xml:space="preserve"> Tarnybai pateikė </w:t>
      </w:r>
      <w:r w:rsidR="00950C14">
        <w:rPr>
          <w:bCs/>
          <w:color w:val="000000" w:themeColor="text1"/>
        </w:rPr>
        <w:t xml:space="preserve">Infros </w:t>
      </w:r>
      <w:r>
        <w:rPr>
          <w:bCs/>
          <w:color w:val="000000" w:themeColor="text1"/>
        </w:rPr>
        <w:t xml:space="preserve">Tiriamuoju laikotarpiu išrašytas PVM sąskaitas faktūras už naudojimąsi Paslaugomis, pagal kurias </w:t>
      </w:r>
      <w:r w:rsidR="00950C14">
        <w:rPr>
          <w:rFonts w:eastAsiaTheme="minorHAnsi"/>
          <w:kern w:val="0"/>
          <w:lang w:eastAsia="en-US"/>
        </w:rPr>
        <w:lastRenderedPageBreak/>
        <w:t>Infra</w:t>
      </w:r>
      <w:r w:rsidR="00950C14" w:rsidRPr="000F551B">
        <w:rPr>
          <w:rFonts w:eastAsiaTheme="minorHAnsi"/>
          <w:kern w:val="0"/>
          <w:lang w:eastAsia="en-US"/>
        </w:rPr>
        <w:t xml:space="preserve"> </w:t>
      </w:r>
      <w:r>
        <w:rPr>
          <w:rFonts w:eastAsiaTheme="minorHAnsi"/>
          <w:kern w:val="0"/>
          <w:lang w:eastAsia="en-US"/>
        </w:rPr>
        <w:t>AC apskaitė</w:t>
      </w:r>
      <w:r w:rsidRPr="000F551B">
        <w:rPr>
          <w:rFonts w:eastAsiaTheme="minorHAnsi"/>
          <w:kern w:val="0"/>
          <w:lang w:eastAsia="en-US"/>
        </w:rPr>
        <w:t xml:space="preserve"> </w:t>
      </w:r>
      <w:r w:rsidR="00040439">
        <w:rPr>
          <w:rFonts w:eastAsiaTheme="minorHAnsi"/>
          <w:kern w:val="0"/>
          <w:lang w:eastAsia="en-US"/>
        </w:rPr>
        <w:t>&lt;...&gt;</w:t>
      </w:r>
      <w:r>
        <w:rPr>
          <w:rFonts w:eastAsiaTheme="minorHAnsi"/>
          <w:kern w:val="0"/>
          <w:lang w:eastAsia="en-US"/>
        </w:rPr>
        <w:t> </w:t>
      </w:r>
      <w:r>
        <w:rPr>
          <w:rFonts w:eastAsiaTheme="minorHAnsi"/>
          <w:lang w:eastAsia="en-US"/>
        </w:rPr>
        <w:t>vienetų (skaičiuojant vagonų kilometrais)</w:t>
      </w:r>
      <w:r w:rsidRPr="000F551B">
        <w:rPr>
          <w:rFonts w:eastAsiaTheme="minorHAnsi"/>
          <w:kern w:val="0"/>
          <w:lang w:eastAsia="en-US"/>
        </w:rPr>
        <w:t xml:space="preserve"> </w:t>
      </w:r>
      <w:r>
        <w:rPr>
          <w:rFonts w:eastAsiaTheme="minorHAnsi"/>
          <w:kern w:val="0"/>
          <w:lang w:eastAsia="en-US"/>
        </w:rPr>
        <w:t xml:space="preserve">suteiktos </w:t>
      </w:r>
      <w:r w:rsidRPr="000F551B">
        <w:rPr>
          <w:rFonts w:eastAsiaTheme="minorHAnsi"/>
          <w:kern w:val="0"/>
          <w:lang w:eastAsia="en-US"/>
        </w:rPr>
        <w:t xml:space="preserve">Pirmos paslaugos iš viso už </w:t>
      </w:r>
      <w:r w:rsidR="00040439">
        <w:rPr>
          <w:rFonts w:eastAsiaTheme="minorHAnsi"/>
          <w:kern w:val="0"/>
          <w:lang w:eastAsia="en-US"/>
        </w:rPr>
        <w:t>&lt;...&gt;</w:t>
      </w:r>
      <w:r w:rsidRPr="000F551B">
        <w:rPr>
          <w:rFonts w:eastAsiaTheme="minorHAnsi"/>
          <w:kern w:val="0"/>
          <w:lang w:eastAsia="en-US"/>
        </w:rPr>
        <w:t xml:space="preserve"> Eur be PVM ir </w:t>
      </w:r>
      <w:r w:rsidR="00040439">
        <w:rPr>
          <w:rFonts w:eastAsiaTheme="minorHAnsi"/>
          <w:kern w:val="0"/>
          <w:lang w:eastAsia="en-US"/>
        </w:rPr>
        <w:t> &lt;...&gt;</w:t>
      </w:r>
      <w:r w:rsidRPr="000F551B">
        <w:rPr>
          <w:rFonts w:eastAsiaTheme="minorHAnsi"/>
          <w:kern w:val="0"/>
          <w:lang w:eastAsia="en-US"/>
        </w:rPr>
        <w:t xml:space="preserve"> </w:t>
      </w:r>
      <w:r>
        <w:rPr>
          <w:rFonts w:eastAsiaTheme="minorHAnsi"/>
          <w:kern w:val="0"/>
          <w:lang w:eastAsia="en-US"/>
        </w:rPr>
        <w:t>vienetų (skaičiuojant vagonais)</w:t>
      </w:r>
      <w:r w:rsidRPr="000F551B">
        <w:rPr>
          <w:rFonts w:eastAsiaTheme="minorHAnsi"/>
          <w:kern w:val="0"/>
          <w:lang w:eastAsia="en-US"/>
        </w:rPr>
        <w:t xml:space="preserve"> Antros paslaugos iš viso už </w:t>
      </w:r>
      <w:r w:rsidR="00040439">
        <w:rPr>
          <w:rFonts w:eastAsiaTheme="minorHAnsi"/>
          <w:kern w:val="0"/>
          <w:lang w:eastAsia="en-US"/>
        </w:rPr>
        <w:t>&lt;...&gt;</w:t>
      </w:r>
      <w:r w:rsidRPr="000F551B">
        <w:rPr>
          <w:rFonts w:eastAsiaTheme="minorHAnsi"/>
          <w:kern w:val="0"/>
          <w:lang w:eastAsia="en-US"/>
        </w:rPr>
        <w:t xml:space="preserve"> Eur be PVM. </w:t>
      </w:r>
    </w:p>
    <w:p w14:paraId="4A9423ED" w14:textId="0DEFF2AD" w:rsidR="00322CC9" w:rsidRDefault="00322CC9" w:rsidP="00322CC9">
      <w:pPr>
        <w:pStyle w:val="NormalWeb"/>
        <w:numPr>
          <w:ilvl w:val="0"/>
          <w:numId w:val="15"/>
        </w:numPr>
        <w:tabs>
          <w:tab w:val="left" w:pos="1134"/>
        </w:tabs>
        <w:spacing w:before="0" w:beforeAutospacing="0" w:after="0" w:afterAutospacing="0"/>
        <w:ind w:left="0" w:firstLine="720"/>
        <w:contextualSpacing/>
        <w:jc w:val="both"/>
      </w:pPr>
      <w:r>
        <w:rPr>
          <w:bCs/>
        </w:rPr>
        <w:t xml:space="preserve"> </w:t>
      </w:r>
      <w:r w:rsidRPr="00B87AEA">
        <w:rPr>
          <w:bCs/>
          <w:color w:val="000000" w:themeColor="text1"/>
        </w:rPr>
        <w:t>GG Rašte Nr. 181</w:t>
      </w:r>
      <w:r w:rsidRPr="00C34928">
        <w:rPr>
          <w:bCs/>
        </w:rPr>
        <w:t xml:space="preserve"> </w:t>
      </w:r>
      <w:r>
        <w:rPr>
          <w:bCs/>
        </w:rPr>
        <w:t xml:space="preserve">nurodė, kad Pirma paslauga užsakoma pagal užsakymo formą, kuri siunčiama el. paštu </w:t>
      </w:r>
      <w:r w:rsidR="002708D7">
        <w:rPr>
          <w:bCs/>
        </w:rPr>
        <w:t xml:space="preserve">Infros </w:t>
      </w:r>
      <w:r>
        <w:rPr>
          <w:bCs/>
        </w:rPr>
        <w:t xml:space="preserve">geležinkelio stoties </w:t>
      </w:r>
      <w:r w:rsidRPr="00F82523">
        <w:rPr>
          <w:bCs/>
        </w:rPr>
        <w:t>budėtojui ir</w:t>
      </w:r>
      <w:r w:rsidR="00EE3953">
        <w:rPr>
          <w:bCs/>
        </w:rPr>
        <w:t>,</w:t>
      </w:r>
      <w:r w:rsidRPr="00F82523">
        <w:rPr>
          <w:bCs/>
        </w:rPr>
        <w:t xml:space="preserve"> </w:t>
      </w:r>
      <w:r>
        <w:rPr>
          <w:bCs/>
        </w:rPr>
        <w:t xml:space="preserve">kad </w:t>
      </w:r>
      <w:r w:rsidRPr="00F82523">
        <w:t xml:space="preserve">Pirma paslauga vykdoma </w:t>
      </w:r>
      <w:r>
        <w:t xml:space="preserve">vagonus varant </w:t>
      </w:r>
      <w:r w:rsidRPr="00F82523">
        <w:t>iš</w:t>
      </w:r>
      <w:r>
        <w:t xml:space="preserve"> ir </w:t>
      </w:r>
      <w:r w:rsidRPr="00F82523">
        <w:t>į geležinkelio stoties privažiuojamuosius</w:t>
      </w:r>
      <w:r w:rsidRPr="00C34928">
        <w:t>–</w:t>
      </w:r>
      <w:r w:rsidRPr="00F82523">
        <w:t xml:space="preserve">jungiamuosius </w:t>
      </w:r>
      <w:r>
        <w:t xml:space="preserve">geležinkelio </w:t>
      </w:r>
      <w:r w:rsidRPr="00F82523">
        <w:t>kelius</w:t>
      </w:r>
      <w:r>
        <w:t>,</w:t>
      </w:r>
      <w:r w:rsidRPr="00F82523">
        <w:t xml:space="preserve"> kurių apskaitomas</w:t>
      </w:r>
      <w:r>
        <w:t xml:space="preserve"> ilgis </w:t>
      </w:r>
      <w:r w:rsidRPr="00F82523">
        <w:t>yra skaičiuojamas nuo</w:t>
      </w:r>
      <w:r>
        <w:t xml:space="preserve"> geležinkelio</w:t>
      </w:r>
      <w:r w:rsidRPr="00F82523">
        <w:t xml:space="preserve"> stoties ašies iki aklakelio arba iki ribos su kito valdytojo geležinkelio keliu.</w:t>
      </w:r>
      <w:r>
        <w:t xml:space="preserve"> </w:t>
      </w:r>
      <w:r w:rsidRPr="00F82523">
        <w:rPr>
          <w:bCs/>
        </w:rPr>
        <w:t>GG pateik</w:t>
      </w:r>
      <w:r>
        <w:rPr>
          <w:bCs/>
        </w:rPr>
        <w:t>ė</w:t>
      </w:r>
      <w:r w:rsidRPr="00F82523">
        <w:rPr>
          <w:bCs/>
        </w:rPr>
        <w:t xml:space="preserve"> informaciją, kad </w:t>
      </w:r>
      <w:r w:rsidRPr="00F82523">
        <w:rPr>
          <w:rFonts w:eastAsiaTheme="minorHAnsi"/>
          <w:lang w:eastAsia="en-US"/>
        </w:rPr>
        <w:t xml:space="preserve">Tiriamuoju laikotarpiu </w:t>
      </w:r>
      <w:r w:rsidR="00CF619F">
        <w:rPr>
          <w:rFonts w:eastAsiaTheme="minorHAnsi"/>
          <w:lang w:eastAsia="en-US"/>
        </w:rPr>
        <w:t>Infra</w:t>
      </w:r>
      <w:r w:rsidR="00CF619F" w:rsidRPr="00F82523">
        <w:rPr>
          <w:rFonts w:eastAsiaTheme="minorHAnsi"/>
          <w:lang w:eastAsia="en-US"/>
        </w:rPr>
        <w:t xml:space="preserve"> </w:t>
      </w:r>
      <w:r>
        <w:rPr>
          <w:rFonts w:eastAsiaTheme="minorHAnsi"/>
          <w:lang w:eastAsia="en-US"/>
        </w:rPr>
        <w:t>apskaitė</w:t>
      </w:r>
      <w:r w:rsidRPr="00F82523">
        <w:rPr>
          <w:rFonts w:eastAsiaTheme="minorHAnsi"/>
          <w:lang w:eastAsia="en-US"/>
        </w:rPr>
        <w:t xml:space="preserve"> </w:t>
      </w:r>
      <w:r w:rsidR="00040439">
        <w:rPr>
          <w:rFonts w:eastAsiaTheme="minorHAnsi"/>
          <w:lang w:eastAsia="en-US"/>
        </w:rPr>
        <w:t>&lt;...&gt;</w:t>
      </w:r>
      <w:r w:rsidRPr="00F82523">
        <w:rPr>
          <w:rFonts w:eastAsiaTheme="minorHAnsi"/>
          <w:lang w:eastAsia="en-US"/>
        </w:rPr>
        <w:t> </w:t>
      </w:r>
      <w:r>
        <w:rPr>
          <w:rFonts w:eastAsiaTheme="minorHAnsi"/>
          <w:lang w:eastAsia="en-US"/>
        </w:rPr>
        <w:t>vienetų (skaičiuojant vagonų kilometrais) jam suteiktos</w:t>
      </w:r>
      <w:r w:rsidRPr="00F82523">
        <w:rPr>
          <w:rFonts w:eastAsiaTheme="minorHAnsi"/>
          <w:lang w:eastAsia="en-US"/>
        </w:rPr>
        <w:t xml:space="preserve"> Pirmos paslaugos iš viso už </w:t>
      </w:r>
      <w:r w:rsidR="00040439">
        <w:rPr>
          <w:rFonts w:eastAsiaTheme="minorHAnsi"/>
          <w:lang w:eastAsia="en-US"/>
        </w:rPr>
        <w:t>&lt;...&gt;</w:t>
      </w:r>
      <w:r w:rsidRPr="00F82523">
        <w:rPr>
          <w:rFonts w:eastAsiaTheme="minorHAnsi"/>
          <w:lang w:eastAsia="en-US"/>
        </w:rPr>
        <w:t> Eur be PVM ir 146</w:t>
      </w:r>
      <w:r>
        <w:rPr>
          <w:rFonts w:eastAsiaTheme="minorHAnsi"/>
          <w:lang w:eastAsia="en-US"/>
        </w:rPr>
        <w:t> </w:t>
      </w:r>
      <w:r w:rsidRPr="00F82523">
        <w:rPr>
          <w:rFonts w:eastAsiaTheme="minorHAnsi"/>
          <w:lang w:eastAsia="en-US"/>
        </w:rPr>
        <w:t>49</w:t>
      </w:r>
      <w:r>
        <w:rPr>
          <w:rFonts w:eastAsiaTheme="minorHAnsi"/>
          <w:lang w:eastAsia="en-US"/>
        </w:rPr>
        <w:t>1 vienetų (skaičiuojant vagonais)</w:t>
      </w:r>
      <w:r w:rsidRPr="00F82523">
        <w:rPr>
          <w:rFonts w:eastAsiaTheme="minorHAnsi"/>
          <w:lang w:eastAsia="en-US"/>
        </w:rPr>
        <w:t xml:space="preserve"> Antros paslaugos iš viso už </w:t>
      </w:r>
      <w:r w:rsidR="00D51994">
        <w:rPr>
          <w:rFonts w:eastAsiaTheme="minorHAnsi"/>
          <w:lang w:eastAsia="en-US"/>
        </w:rPr>
        <w:t>&lt;...&gt;</w:t>
      </w:r>
      <w:r w:rsidRPr="00F82523">
        <w:rPr>
          <w:rFonts w:eastAsiaTheme="minorHAnsi"/>
          <w:lang w:eastAsia="en-US"/>
        </w:rPr>
        <w:t> Eur be PVM</w:t>
      </w:r>
      <w:r>
        <w:rPr>
          <w:rFonts w:eastAsiaTheme="minorHAnsi"/>
          <w:lang w:eastAsia="en-US"/>
        </w:rPr>
        <w:t>.</w:t>
      </w:r>
      <w:r w:rsidRPr="00F82523">
        <w:rPr>
          <w:rFonts w:eastAsiaTheme="minorHAnsi"/>
          <w:lang w:eastAsia="en-US"/>
        </w:rPr>
        <w:t xml:space="preserve"> GG </w:t>
      </w:r>
      <w:r>
        <w:rPr>
          <w:rFonts w:eastAsiaTheme="minorHAnsi"/>
          <w:lang w:eastAsia="en-US"/>
        </w:rPr>
        <w:t>pažymėjo</w:t>
      </w:r>
      <w:r w:rsidRPr="00F82523">
        <w:rPr>
          <w:rFonts w:eastAsiaTheme="minorHAnsi"/>
          <w:lang w:eastAsia="en-US"/>
        </w:rPr>
        <w:t>, kad</w:t>
      </w:r>
      <w:r w:rsidRPr="00056932">
        <w:t xml:space="preserve"> </w:t>
      </w:r>
      <w:r w:rsidRPr="00F82523">
        <w:rPr>
          <w:rFonts w:eastAsiaTheme="minorHAnsi"/>
          <w:lang w:eastAsia="en-US"/>
        </w:rPr>
        <w:t xml:space="preserve">Tiriamuoju </w:t>
      </w:r>
      <w:r w:rsidRPr="00056932">
        <w:t>laikotarpiu buvo atve</w:t>
      </w:r>
      <w:r w:rsidRPr="001B03F2">
        <w:t xml:space="preserve">jų, kai atvarius vagonus į </w:t>
      </w:r>
      <w:r>
        <w:t xml:space="preserve">geležinkelio </w:t>
      </w:r>
      <w:r w:rsidRPr="001B03F2">
        <w:t xml:space="preserve">stotį (pilną traukinio sąstatą vienu metu) ir GG šilumvežiui priėmus visą </w:t>
      </w:r>
      <w:r>
        <w:t xml:space="preserve">traukinio </w:t>
      </w:r>
      <w:r w:rsidRPr="001B03F2">
        <w:t>sąstatą iš geležinkelio stoties atvykimo</w:t>
      </w:r>
      <w:r>
        <w:t>–</w:t>
      </w:r>
      <w:r w:rsidRPr="001B03F2">
        <w:t xml:space="preserve">išvykimo kelio, nuvežimui į kliento privažiuojamuosius </w:t>
      </w:r>
      <w:r>
        <w:t xml:space="preserve">geležinkelio </w:t>
      </w:r>
      <w:r w:rsidRPr="001B03F2">
        <w:t>kelius, nepagrįstai buvo priskaityta ir apmokestinta Antr</w:t>
      </w:r>
      <w:r w:rsidRPr="00C34928">
        <w:t xml:space="preserve">oji paslauga, nors GG nevykdė jokių papildomų veiksmų </w:t>
      </w:r>
      <w:r>
        <w:t xml:space="preserve">geležinkelio </w:t>
      </w:r>
      <w:r w:rsidRPr="00C34928">
        <w:t>stoties keliuose</w:t>
      </w:r>
      <w:r>
        <w:t>. GG kartu su Raštu Nr. 181 pateikė</w:t>
      </w:r>
      <w:r w:rsidRPr="00C34928">
        <w:t xml:space="preserve"> </w:t>
      </w:r>
      <w:r w:rsidR="00CF619F">
        <w:t>Infros</w:t>
      </w:r>
      <w:r w:rsidR="00CF619F" w:rsidRPr="00C34928">
        <w:t xml:space="preserve"> </w:t>
      </w:r>
      <w:r w:rsidRPr="00C34928">
        <w:t>2021 m. spalio 1</w:t>
      </w:r>
      <w:r>
        <w:t> </w:t>
      </w:r>
      <w:r w:rsidRPr="00C34928">
        <w:t>d. rašt</w:t>
      </w:r>
      <w:r>
        <w:t>ą</w:t>
      </w:r>
      <w:r w:rsidRPr="00C34928">
        <w:t xml:space="preserve"> Nr.</w:t>
      </w:r>
      <w:r>
        <w:t> </w:t>
      </w:r>
      <w:r w:rsidRPr="00C34928">
        <w:t>SD(LGI)-4389</w:t>
      </w:r>
      <w:r>
        <w:t xml:space="preserve">, kuriuo </w:t>
      </w:r>
      <w:r w:rsidR="00CF619F">
        <w:t>Infra</w:t>
      </w:r>
      <w:r w:rsidR="00CF619F" w:rsidRPr="00C34928">
        <w:t xml:space="preserve"> </w:t>
      </w:r>
      <w:r w:rsidRPr="00C34928">
        <w:t>pripažino, kad 2020</w:t>
      </w:r>
      <w:r>
        <w:t> </w:t>
      </w:r>
      <w:r w:rsidRPr="00C34928">
        <w:t>m. rugpjūčio–gruodžio mėn. neteisingai apskaitė ir apmokestino GG</w:t>
      </w:r>
      <w:r>
        <w:t xml:space="preserve"> už</w:t>
      </w:r>
      <w:r w:rsidRPr="00C34928">
        <w:t xml:space="preserve"> Antr</w:t>
      </w:r>
      <w:r>
        <w:t>os</w:t>
      </w:r>
      <w:r w:rsidRPr="00C34928">
        <w:t xml:space="preserve"> paslaug</w:t>
      </w:r>
      <w:r>
        <w:t>os naudojimą</w:t>
      </w:r>
      <w:r w:rsidRPr="00C34928">
        <w:t xml:space="preserve"> iš viso už </w:t>
      </w:r>
      <w:r w:rsidR="00D51994">
        <w:t>&lt;...&gt;</w:t>
      </w:r>
      <w:r w:rsidRPr="00C34928">
        <w:t> Eur</w:t>
      </w:r>
      <w:r w:rsidR="00F60D9E">
        <w:t xml:space="preserve"> be PVM</w:t>
      </w:r>
      <w:r w:rsidRPr="00C34928">
        <w:t xml:space="preserve"> ir patvirtino, kad grąžins neteisingai priskaičiuot</w:t>
      </w:r>
      <w:r>
        <w:t>ą</w:t>
      </w:r>
      <w:r w:rsidRPr="00C34928">
        <w:t xml:space="preserve"> ir GG</w:t>
      </w:r>
      <w:r>
        <w:t xml:space="preserve"> jau</w:t>
      </w:r>
      <w:r w:rsidRPr="00C34928">
        <w:t xml:space="preserve"> sumokėt</w:t>
      </w:r>
      <w:r>
        <w:t>ą</w:t>
      </w:r>
      <w:r w:rsidRPr="00C34928">
        <w:t xml:space="preserve"> </w:t>
      </w:r>
      <w:r>
        <w:t>užmokestį už naudojimąsi Antra paslauga</w:t>
      </w:r>
      <w:r w:rsidRPr="00C34928">
        <w:t>.</w:t>
      </w:r>
    </w:p>
    <w:p w14:paraId="1D32B02C" w14:textId="2716FE43" w:rsidR="00A16C43" w:rsidRPr="00C44447" w:rsidRDefault="00A16C43" w:rsidP="00A16C43">
      <w:pPr>
        <w:pStyle w:val="ListParagraph"/>
        <w:numPr>
          <w:ilvl w:val="0"/>
          <w:numId w:val="15"/>
        </w:numPr>
        <w:tabs>
          <w:tab w:val="left" w:pos="1134"/>
        </w:tabs>
        <w:ind w:left="0" w:firstLine="720"/>
        <w:jc w:val="both"/>
        <w:rPr>
          <w:rFonts w:ascii="Arial" w:hAnsi="Arial" w:cs="Arial"/>
          <w:color w:val="000000" w:themeColor="text1"/>
          <w:sz w:val="22"/>
          <w:szCs w:val="22"/>
        </w:rPr>
      </w:pPr>
      <w:r w:rsidRPr="00C44447">
        <w:rPr>
          <w:rFonts w:eastAsiaTheme="minorHAnsi"/>
          <w:bCs/>
          <w:color w:val="000000" w:themeColor="text1"/>
        </w:rPr>
        <w:t xml:space="preserve">Tarnyba, atsižvelgusi į tyrimo metu surinktą informaciją, 2021 m. lapkričio 26 d. raštu Nr. (67.15Mr)1B-3803 papildomai kreipėsi į </w:t>
      </w:r>
      <w:r w:rsidR="00CF619F">
        <w:rPr>
          <w:rFonts w:eastAsiaTheme="minorHAnsi"/>
          <w:bCs/>
          <w:color w:val="000000" w:themeColor="text1"/>
        </w:rPr>
        <w:t>Infrą</w:t>
      </w:r>
      <w:r w:rsidRPr="00C44447">
        <w:rPr>
          <w:rFonts w:eastAsiaTheme="minorHAnsi"/>
          <w:bCs/>
          <w:color w:val="000000" w:themeColor="text1"/>
        </w:rPr>
        <w:t>, prašydama pateikti paaiškinimus dėl</w:t>
      </w:r>
      <w:r w:rsidR="00667EAE">
        <w:rPr>
          <w:rFonts w:eastAsiaTheme="minorHAnsi"/>
          <w:bCs/>
          <w:color w:val="000000" w:themeColor="text1"/>
        </w:rPr>
        <w:t>:</w:t>
      </w:r>
      <w:r w:rsidRPr="00C44447">
        <w:rPr>
          <w:rFonts w:eastAsiaTheme="minorHAnsi"/>
          <w:bCs/>
          <w:color w:val="000000" w:themeColor="text1"/>
        </w:rPr>
        <w:t xml:space="preserve"> 1) </w:t>
      </w:r>
      <w:r w:rsidRPr="00C44447">
        <w:rPr>
          <w:bCs/>
          <w:color w:val="000000" w:themeColor="text1"/>
        </w:rPr>
        <w:t>Rimkų geležinkelio stoties schemoje geležinkelio kelyje Nr. 1‘ nurodyto M23 šviesoforo paskirties, t. y.</w:t>
      </w:r>
      <w:r w:rsidR="00667EAE">
        <w:rPr>
          <w:bCs/>
          <w:color w:val="000000" w:themeColor="text1"/>
        </w:rPr>
        <w:t>,</w:t>
      </w:r>
      <w:r w:rsidRPr="00C44447">
        <w:rPr>
          <w:bCs/>
          <w:color w:val="000000" w:themeColor="text1"/>
        </w:rPr>
        <w:t xml:space="preserve"> ar jis turi kelių šviesoforų paskirtis: įleidžiamojo ir manevrų ar išleidžiamojo ir manevrų šviesoforo paskirtis</w:t>
      </w:r>
      <w:r>
        <w:rPr>
          <w:bCs/>
          <w:color w:val="000000" w:themeColor="text1"/>
        </w:rPr>
        <w:t>;</w:t>
      </w:r>
      <w:r w:rsidRPr="00C44447">
        <w:rPr>
          <w:bCs/>
          <w:color w:val="000000" w:themeColor="text1"/>
        </w:rPr>
        <w:t xml:space="preserve"> 2) teisinio pagrindo, kuriuo vadovaujantis manevravimas buvo įtrauktas į MPP paslaugos apimtį; 3) pareiškėjų identifikuotų Antros paslaugos kiekių apskaitymo neatitikimų ir dėl šių neatitikimų pareiškėjams suteiktų Antros paslaugos kiekių perskaičiavimų. </w:t>
      </w:r>
    </w:p>
    <w:p w14:paraId="3C9D4174" w14:textId="03AAC594" w:rsidR="00A16C43" w:rsidRPr="00C44447" w:rsidRDefault="00CF619F" w:rsidP="00A16C43">
      <w:pPr>
        <w:pStyle w:val="ListParagraph"/>
        <w:numPr>
          <w:ilvl w:val="0"/>
          <w:numId w:val="15"/>
        </w:numPr>
        <w:tabs>
          <w:tab w:val="left" w:pos="1134"/>
        </w:tabs>
        <w:ind w:left="0" w:firstLine="720"/>
        <w:jc w:val="both"/>
        <w:rPr>
          <w:rFonts w:ascii="Arial" w:hAnsi="Arial" w:cs="Arial"/>
          <w:sz w:val="22"/>
          <w:szCs w:val="22"/>
        </w:rPr>
      </w:pPr>
      <w:r>
        <w:rPr>
          <w:bCs/>
        </w:rPr>
        <w:t xml:space="preserve">Infra </w:t>
      </w:r>
      <w:r w:rsidR="00A16C43" w:rsidRPr="00C44447">
        <w:rPr>
          <w:bCs/>
        </w:rPr>
        <w:t>Rašt</w:t>
      </w:r>
      <w:r w:rsidR="00A16C43">
        <w:rPr>
          <w:bCs/>
        </w:rPr>
        <w:t>e</w:t>
      </w:r>
      <w:r w:rsidR="00A16C43" w:rsidRPr="00C44447">
        <w:rPr>
          <w:bCs/>
        </w:rPr>
        <w:t xml:space="preserve"> Nr. SD(LGI)-5635</w:t>
      </w:r>
      <w:r w:rsidR="00A16C43" w:rsidRPr="00F256B3">
        <w:rPr>
          <w:bCs/>
        </w:rPr>
        <w:t xml:space="preserve"> </w:t>
      </w:r>
      <w:r w:rsidR="00A16C43">
        <w:rPr>
          <w:bCs/>
        </w:rPr>
        <w:t>pažymėjo</w:t>
      </w:r>
      <w:r w:rsidR="00A16C43" w:rsidRPr="00F256B3">
        <w:rPr>
          <w:bCs/>
        </w:rPr>
        <w:t xml:space="preserve">, </w:t>
      </w:r>
      <w:r w:rsidR="00A16C43">
        <w:rPr>
          <w:bCs/>
        </w:rPr>
        <w:t xml:space="preserve">kad </w:t>
      </w:r>
      <w:r w:rsidR="00A16C43" w:rsidRPr="009C652B">
        <w:rPr>
          <w:bCs/>
        </w:rPr>
        <w:t>Rimkų geležinkelio stoties schemoje nurodyt</w:t>
      </w:r>
      <w:r w:rsidR="00A16C43">
        <w:rPr>
          <w:bCs/>
        </w:rPr>
        <w:t>as</w:t>
      </w:r>
      <w:r w:rsidR="00A16C43" w:rsidRPr="009C652B">
        <w:rPr>
          <w:bCs/>
        </w:rPr>
        <w:t xml:space="preserve"> M23 šviesoforas, vadovaujantis Rimkų geležinkelio stoties signalizacijos įrenginių naudojimo instrukcijos 5.1 </w:t>
      </w:r>
      <w:r w:rsidR="00667EAE">
        <w:rPr>
          <w:bCs/>
        </w:rPr>
        <w:t>papunkčiu</w:t>
      </w:r>
      <w:r w:rsidR="00A16C43" w:rsidRPr="009C652B">
        <w:rPr>
          <w:bCs/>
        </w:rPr>
        <w:t xml:space="preserve">, turi manevrų šviesoforo paskirtį, kadangi šio šviesoforo paskirtis yra skirta tik manevrų maršrutams rengti, o ne traukinių priėmimui ir (ar) išleidimui į ar iš geležinkelio stoties. </w:t>
      </w:r>
    </w:p>
    <w:p w14:paraId="1268D69F" w14:textId="23432123" w:rsidR="00A16C43" w:rsidRPr="00C44447" w:rsidRDefault="00A16C43" w:rsidP="00A16C43">
      <w:pPr>
        <w:pStyle w:val="ListParagraph"/>
        <w:numPr>
          <w:ilvl w:val="0"/>
          <w:numId w:val="15"/>
        </w:numPr>
        <w:tabs>
          <w:tab w:val="left" w:pos="1134"/>
        </w:tabs>
        <w:ind w:left="0" w:firstLine="720"/>
        <w:jc w:val="both"/>
        <w:rPr>
          <w:rFonts w:ascii="Arial" w:hAnsi="Arial" w:cs="Arial"/>
          <w:sz w:val="22"/>
          <w:szCs w:val="22"/>
        </w:rPr>
      </w:pPr>
      <w:r w:rsidRPr="00831519">
        <w:rPr>
          <w:bCs/>
        </w:rPr>
        <w:t>Rašt</w:t>
      </w:r>
      <w:r>
        <w:rPr>
          <w:bCs/>
        </w:rPr>
        <w:t>e</w:t>
      </w:r>
      <w:r w:rsidRPr="00831519">
        <w:rPr>
          <w:bCs/>
        </w:rPr>
        <w:t xml:space="preserve"> Nr. SD(LGI)-5635</w:t>
      </w:r>
      <w:r>
        <w:rPr>
          <w:bCs/>
        </w:rPr>
        <w:t xml:space="preserve"> </w:t>
      </w:r>
      <w:r w:rsidR="00CF619F">
        <w:rPr>
          <w:bCs/>
        </w:rPr>
        <w:t xml:space="preserve">Infra </w:t>
      </w:r>
      <w:r>
        <w:rPr>
          <w:bCs/>
        </w:rPr>
        <w:t xml:space="preserve">paaiškino, kad </w:t>
      </w:r>
      <w:r w:rsidRPr="009C652B">
        <w:rPr>
          <w:bCs/>
        </w:rPr>
        <w:t>manevravimo</w:t>
      </w:r>
      <w:r>
        <w:rPr>
          <w:bCs/>
        </w:rPr>
        <w:t xml:space="preserve"> paslaugos </w:t>
      </w:r>
      <w:r w:rsidRPr="009C652B">
        <w:rPr>
          <w:bCs/>
        </w:rPr>
        <w:t xml:space="preserve">į MPP paslaugos apimtį </w:t>
      </w:r>
      <w:r>
        <w:rPr>
          <w:bCs/>
        </w:rPr>
        <w:t>buvo įtrauktos vadovaujantis Kodekso 3 straipsnio 47 dalimi</w:t>
      </w:r>
      <w:r>
        <w:rPr>
          <w:rStyle w:val="FootnoteReference"/>
          <w:bCs/>
        </w:rPr>
        <w:footnoteReference w:id="10"/>
      </w:r>
      <w:r>
        <w:rPr>
          <w:bCs/>
        </w:rPr>
        <w:t>, kuri numato</w:t>
      </w:r>
      <w:r w:rsidR="000C4E9E">
        <w:rPr>
          <w:bCs/>
        </w:rPr>
        <w:t>,</w:t>
      </w:r>
      <w:r>
        <w:rPr>
          <w:bCs/>
        </w:rPr>
        <w:t xml:space="preserve"> kad  infrastruktūra yra </w:t>
      </w:r>
      <w:r w:rsidRPr="009C652B">
        <w:rPr>
          <w:bCs/>
        </w:rPr>
        <w:t xml:space="preserve">skirta </w:t>
      </w:r>
      <w:r>
        <w:rPr>
          <w:bCs/>
        </w:rPr>
        <w:t>ir</w:t>
      </w:r>
      <w:r w:rsidRPr="009C652B">
        <w:rPr>
          <w:bCs/>
        </w:rPr>
        <w:t xml:space="preserve"> manevruoti</w:t>
      </w:r>
      <w:r>
        <w:rPr>
          <w:bCs/>
        </w:rPr>
        <w:t xml:space="preserve">. </w:t>
      </w:r>
      <w:r w:rsidR="00CF619F">
        <w:rPr>
          <w:bCs/>
        </w:rPr>
        <w:t xml:space="preserve">Infra </w:t>
      </w:r>
      <w:r>
        <w:rPr>
          <w:bCs/>
        </w:rPr>
        <w:t xml:space="preserve">papildomai </w:t>
      </w:r>
      <w:r w:rsidRPr="009C652B">
        <w:rPr>
          <w:bCs/>
        </w:rPr>
        <w:t>pažymėjo, kad naudotis infrastruktūra galima tik pagal paskirtus infrastruktūros pajėgumus (toliau – pajėgumai)</w:t>
      </w:r>
      <w:r>
        <w:rPr>
          <w:bCs/>
        </w:rPr>
        <w:t xml:space="preserve">. Atsižvelgiant į tai, kad </w:t>
      </w:r>
      <w:r w:rsidRPr="009C652B">
        <w:rPr>
          <w:bCs/>
        </w:rPr>
        <w:t xml:space="preserve"> </w:t>
      </w:r>
      <w:r>
        <w:rPr>
          <w:bCs/>
        </w:rPr>
        <w:t xml:space="preserve">pagal </w:t>
      </w:r>
      <w:r w:rsidRPr="009C652B">
        <w:rPr>
          <w:bCs/>
        </w:rPr>
        <w:t>Kodekso 3 straipsnio 31 dal</w:t>
      </w:r>
      <w:r>
        <w:rPr>
          <w:bCs/>
        </w:rPr>
        <w:t xml:space="preserve">į </w:t>
      </w:r>
      <w:r w:rsidRPr="009C652B">
        <w:rPr>
          <w:bCs/>
        </w:rPr>
        <w:t xml:space="preserve">viena iš MPP paslaugos dalių yra pagal paskirtus pajėgumus teisės naudotis infrastruktūra suteikimas, </w:t>
      </w:r>
      <w:r w:rsidR="00CF619F">
        <w:rPr>
          <w:bCs/>
        </w:rPr>
        <w:t xml:space="preserve">Infros </w:t>
      </w:r>
      <w:r>
        <w:rPr>
          <w:bCs/>
        </w:rPr>
        <w:t xml:space="preserve">vertinimu, </w:t>
      </w:r>
      <w:r w:rsidRPr="009C652B">
        <w:rPr>
          <w:bCs/>
        </w:rPr>
        <w:t>manevravimas</w:t>
      </w:r>
      <w:r>
        <w:rPr>
          <w:bCs/>
        </w:rPr>
        <w:t xml:space="preserve"> yra</w:t>
      </w:r>
      <w:r w:rsidRPr="009C652B">
        <w:rPr>
          <w:bCs/>
        </w:rPr>
        <w:t xml:space="preserve"> įtraukiamas į MPP paslaugos apimtį</w:t>
      </w:r>
      <w:r>
        <w:rPr>
          <w:bCs/>
        </w:rPr>
        <w:t>.</w:t>
      </w:r>
      <w:r w:rsidRPr="009C652B">
        <w:rPr>
          <w:bCs/>
        </w:rPr>
        <w:t xml:space="preserve"> </w:t>
      </w:r>
      <w:r w:rsidR="00CF619F">
        <w:rPr>
          <w:bCs/>
        </w:rPr>
        <w:t xml:space="preserve">Infra </w:t>
      </w:r>
      <w:r>
        <w:rPr>
          <w:bCs/>
        </w:rPr>
        <w:t>nurodė, kad</w:t>
      </w:r>
      <w:r w:rsidRPr="009C652B">
        <w:rPr>
          <w:bCs/>
        </w:rPr>
        <w:t xml:space="preserve"> </w:t>
      </w:r>
      <w:r>
        <w:rPr>
          <w:bCs/>
        </w:rPr>
        <w:t>dėl</w:t>
      </w:r>
      <w:r w:rsidRPr="00920120">
        <w:rPr>
          <w:bCs/>
        </w:rPr>
        <w:t xml:space="preserve"> manevravim</w:t>
      </w:r>
      <w:r>
        <w:rPr>
          <w:bCs/>
        </w:rPr>
        <w:t>o</w:t>
      </w:r>
      <w:r w:rsidRPr="00920120">
        <w:rPr>
          <w:bCs/>
        </w:rPr>
        <w:t xml:space="preserve"> įtrauki</w:t>
      </w:r>
      <w:r>
        <w:rPr>
          <w:bCs/>
        </w:rPr>
        <w:t>mo</w:t>
      </w:r>
      <w:r w:rsidRPr="00920120">
        <w:rPr>
          <w:bCs/>
        </w:rPr>
        <w:t xml:space="preserve"> į MPP paslaugos apimtį</w:t>
      </w:r>
      <w:r>
        <w:rPr>
          <w:bCs/>
        </w:rPr>
        <w:t xml:space="preserve"> laikosi tų pačių argumentų, kuriuos nurodė </w:t>
      </w:r>
      <w:r w:rsidRPr="00920120">
        <w:rPr>
          <w:bCs/>
        </w:rPr>
        <w:t>2021 m. rugpjūčio 16 d. ir 24 d.</w:t>
      </w:r>
      <w:r>
        <w:rPr>
          <w:bCs/>
        </w:rPr>
        <w:t xml:space="preserve"> Tarnybai pateiktuose </w:t>
      </w:r>
      <w:r w:rsidRPr="00920120">
        <w:rPr>
          <w:bCs/>
        </w:rPr>
        <w:t>el. laiškuose</w:t>
      </w:r>
      <w:r>
        <w:rPr>
          <w:bCs/>
        </w:rPr>
        <w:t xml:space="preserve"> ir</w:t>
      </w:r>
      <w:r w:rsidRPr="00920120">
        <w:rPr>
          <w:bCs/>
        </w:rPr>
        <w:t xml:space="preserve"> </w:t>
      </w:r>
      <w:r w:rsidRPr="00C44447">
        <w:rPr>
          <w:bCs/>
          <w:color w:val="000000" w:themeColor="text1"/>
        </w:rPr>
        <w:t>Rašte Nr. SD(LGI)-4725</w:t>
      </w:r>
      <w:r w:rsidRPr="00920120">
        <w:rPr>
          <w:bCs/>
        </w:rPr>
        <w:t xml:space="preserve">. </w:t>
      </w:r>
    </w:p>
    <w:p w14:paraId="5AFE50B3" w14:textId="60EB2066" w:rsidR="00A16C43" w:rsidRPr="00BF0AF4" w:rsidRDefault="00CF619F" w:rsidP="00A16C43">
      <w:pPr>
        <w:pStyle w:val="ListParagraph"/>
        <w:numPr>
          <w:ilvl w:val="0"/>
          <w:numId w:val="15"/>
        </w:numPr>
        <w:tabs>
          <w:tab w:val="left" w:pos="1134"/>
        </w:tabs>
        <w:ind w:left="0" w:firstLine="720"/>
        <w:jc w:val="both"/>
        <w:rPr>
          <w:rFonts w:ascii="Arial" w:hAnsi="Arial" w:cs="Arial"/>
        </w:rPr>
      </w:pPr>
      <w:r>
        <w:rPr>
          <w:bCs/>
        </w:rPr>
        <w:t>Infra</w:t>
      </w:r>
      <w:r w:rsidRPr="002D17B0">
        <w:rPr>
          <w:bCs/>
        </w:rPr>
        <w:t xml:space="preserve"> </w:t>
      </w:r>
      <w:r w:rsidR="00A16C43" w:rsidRPr="002D17B0">
        <w:rPr>
          <w:bCs/>
        </w:rPr>
        <w:t>Rašte Nr. SD(LGI)-5635 papildomai nurodė, kad 2021 m. sausio mėn. apskaitos sistemoje</w:t>
      </w:r>
      <w:r w:rsidR="00A16C43">
        <w:rPr>
          <w:bCs/>
        </w:rPr>
        <w:t xml:space="preserve"> VIPAS</w:t>
      </w:r>
      <w:r w:rsidR="00A16C43" w:rsidRPr="002D17B0">
        <w:rPr>
          <w:bCs/>
        </w:rPr>
        <w:t xml:space="preserve">, generuodamas Antros paslaugos ataskaitą, nustatė, kad </w:t>
      </w:r>
      <w:r>
        <w:rPr>
          <w:bCs/>
        </w:rPr>
        <w:t>Infros</w:t>
      </w:r>
      <w:r w:rsidRPr="002D17B0">
        <w:rPr>
          <w:bCs/>
        </w:rPr>
        <w:t xml:space="preserve"> </w:t>
      </w:r>
      <w:r w:rsidR="00A16C43" w:rsidRPr="006216FC">
        <w:rPr>
          <w:bCs/>
        </w:rPr>
        <w:t>apskaitos sistemoje</w:t>
      </w:r>
      <w:r w:rsidR="00A16C43" w:rsidRPr="002D17B0">
        <w:rPr>
          <w:bCs/>
        </w:rPr>
        <w:t xml:space="preserve"> dėl jos sisteminės klaidos 2020 m. rugpjūčio–gruodžio mėn. laikotarpiu buvo nekorektiškai apskaityti Antros paslaugos kiekiai, t. y. </w:t>
      </w:r>
      <w:r>
        <w:rPr>
          <w:bCs/>
        </w:rPr>
        <w:t>Infros</w:t>
      </w:r>
      <w:r w:rsidRPr="002D17B0">
        <w:rPr>
          <w:bCs/>
        </w:rPr>
        <w:t xml:space="preserve"> </w:t>
      </w:r>
      <w:r w:rsidR="00A16C43" w:rsidRPr="002D17B0">
        <w:rPr>
          <w:bCs/>
        </w:rPr>
        <w:t>apskaitos sistema nepriklausomai nuo geležinkelio stoties budėtojo pasirinkimo, fiksavo, kad yra vykdomas riedmenų judėjimas atliekant formavimo ir manevravimo veiksmus, nors pareiškėja</w:t>
      </w:r>
      <w:r w:rsidR="00EE7CA0">
        <w:rPr>
          <w:bCs/>
        </w:rPr>
        <w:t>i</w:t>
      </w:r>
      <w:r w:rsidR="00A16C43" w:rsidRPr="002D17B0">
        <w:rPr>
          <w:bCs/>
        </w:rPr>
        <w:t xml:space="preserve"> tik atvarydavo vagonų sąstatą į geležinkelio stotį ir neatlikdavo jokių formavimo ir manevravimo veiksmų. </w:t>
      </w:r>
      <w:r>
        <w:rPr>
          <w:bCs/>
        </w:rPr>
        <w:t>Infra</w:t>
      </w:r>
      <w:r w:rsidRPr="002D17B0">
        <w:rPr>
          <w:bCs/>
        </w:rPr>
        <w:t xml:space="preserve"> </w:t>
      </w:r>
      <w:r w:rsidR="00A16C43" w:rsidRPr="002D17B0">
        <w:rPr>
          <w:bCs/>
        </w:rPr>
        <w:t>dėl neteisingai apskaitytų 2020</w:t>
      </w:r>
      <w:r w:rsidR="00A16C43">
        <w:rPr>
          <w:bCs/>
        </w:rPr>
        <w:t> </w:t>
      </w:r>
      <w:r w:rsidR="00A16C43" w:rsidRPr="002D17B0">
        <w:rPr>
          <w:bCs/>
        </w:rPr>
        <w:t>m. rugpjūčio–gruodžio mėn. laikotarpiu Antros paslaugos kiekių</w:t>
      </w:r>
      <w:r w:rsidR="008C2C02">
        <w:rPr>
          <w:bCs/>
        </w:rPr>
        <w:t xml:space="preserve"> pareiškėjams</w:t>
      </w:r>
      <w:r w:rsidR="00A16C43" w:rsidRPr="002D17B0">
        <w:rPr>
          <w:bCs/>
        </w:rPr>
        <w:t xml:space="preserve"> pateikė aktus kreditinėms PVM sąskaitoms faktūroms išrašyti, kuriose apskaičiuotos</w:t>
      </w:r>
      <w:r w:rsidR="00A16C43" w:rsidRPr="00C44447">
        <w:rPr>
          <w:bCs/>
        </w:rPr>
        <w:t xml:space="preserve"> </w:t>
      </w:r>
      <w:r w:rsidR="00A16C43" w:rsidRPr="002D17B0">
        <w:rPr>
          <w:bCs/>
        </w:rPr>
        <w:t xml:space="preserve">pareiškėjams </w:t>
      </w:r>
      <w:r w:rsidR="00A16C43" w:rsidRPr="00C44447">
        <w:rPr>
          <w:bCs/>
        </w:rPr>
        <w:t>grąžintin</w:t>
      </w:r>
      <w:r w:rsidR="00A16C43" w:rsidRPr="002D17B0">
        <w:rPr>
          <w:bCs/>
        </w:rPr>
        <w:t>o</w:t>
      </w:r>
      <w:r w:rsidR="00A16C43" w:rsidRPr="00C44447">
        <w:rPr>
          <w:bCs/>
        </w:rPr>
        <w:t>s sum</w:t>
      </w:r>
      <w:r w:rsidR="00A16C43" w:rsidRPr="002D17B0">
        <w:rPr>
          <w:bCs/>
        </w:rPr>
        <w:t>o</w:t>
      </w:r>
      <w:r w:rsidR="00A16C43" w:rsidRPr="00C44447">
        <w:rPr>
          <w:bCs/>
        </w:rPr>
        <w:t>s</w:t>
      </w:r>
      <w:r w:rsidR="00A16C43" w:rsidRPr="002D17B0">
        <w:rPr>
          <w:bCs/>
        </w:rPr>
        <w:t xml:space="preserve"> sudarė</w:t>
      </w:r>
      <w:r w:rsidR="00A16C43" w:rsidRPr="00C44447">
        <w:rPr>
          <w:bCs/>
        </w:rPr>
        <w:t xml:space="preserve"> AC – </w:t>
      </w:r>
      <w:r w:rsidR="00D51994">
        <w:rPr>
          <w:bCs/>
        </w:rPr>
        <w:t>&lt;...&gt;</w:t>
      </w:r>
      <w:r w:rsidR="00A16C43" w:rsidRPr="00C44447">
        <w:rPr>
          <w:bCs/>
        </w:rPr>
        <w:t xml:space="preserve"> Eur be PVM</w:t>
      </w:r>
      <w:r w:rsidR="00A16C43" w:rsidRPr="002D17B0">
        <w:rPr>
          <w:bCs/>
        </w:rPr>
        <w:t>,</w:t>
      </w:r>
      <w:r w:rsidR="00A16C43" w:rsidRPr="00C44447">
        <w:rPr>
          <w:bCs/>
        </w:rPr>
        <w:t xml:space="preserve"> Transachemai –</w:t>
      </w:r>
      <w:r w:rsidR="00A16C43" w:rsidRPr="002D17B0">
        <w:rPr>
          <w:bCs/>
        </w:rPr>
        <w:t xml:space="preserve"> </w:t>
      </w:r>
      <w:r w:rsidR="00D51994">
        <w:rPr>
          <w:bCs/>
        </w:rPr>
        <w:t>&lt;...&gt;</w:t>
      </w:r>
      <w:r w:rsidR="00A16C43" w:rsidRPr="00C44447">
        <w:rPr>
          <w:bCs/>
        </w:rPr>
        <w:t xml:space="preserve"> Eur be PVM</w:t>
      </w:r>
      <w:r w:rsidR="00A16C43" w:rsidRPr="002D17B0">
        <w:rPr>
          <w:bCs/>
        </w:rPr>
        <w:t>,</w:t>
      </w:r>
      <w:r w:rsidR="00A16C43" w:rsidRPr="00C44447">
        <w:rPr>
          <w:bCs/>
        </w:rPr>
        <w:t xml:space="preserve"> GG – </w:t>
      </w:r>
      <w:r w:rsidR="00D51994">
        <w:rPr>
          <w:bCs/>
        </w:rPr>
        <w:t>&lt;...&gt;</w:t>
      </w:r>
      <w:r w:rsidR="00A16C43" w:rsidRPr="00C44447">
        <w:rPr>
          <w:bCs/>
        </w:rPr>
        <w:t xml:space="preserve"> Eur be PVM</w:t>
      </w:r>
      <w:r w:rsidR="00A16C43" w:rsidRPr="002D17B0">
        <w:rPr>
          <w:bCs/>
        </w:rPr>
        <w:t xml:space="preserve"> ir</w:t>
      </w:r>
      <w:r w:rsidR="00A16C43" w:rsidRPr="00C44447">
        <w:rPr>
          <w:bCs/>
        </w:rPr>
        <w:t xml:space="preserve"> LTG Cargo </w:t>
      </w:r>
      <w:r w:rsidR="00A16C43" w:rsidRPr="002D17B0">
        <w:rPr>
          <w:bCs/>
        </w:rPr>
        <w:t>–</w:t>
      </w:r>
      <w:r w:rsidR="00A16C43" w:rsidRPr="00C44447">
        <w:rPr>
          <w:bCs/>
        </w:rPr>
        <w:t xml:space="preserve"> </w:t>
      </w:r>
      <w:r w:rsidR="00D51994">
        <w:rPr>
          <w:bCs/>
        </w:rPr>
        <w:t>&lt;...&gt;</w:t>
      </w:r>
      <w:r w:rsidR="00A16C43" w:rsidRPr="00C44447">
        <w:rPr>
          <w:bCs/>
        </w:rPr>
        <w:t xml:space="preserve"> Eur be PVM. </w:t>
      </w:r>
    </w:p>
    <w:p w14:paraId="5A08C3CD" w14:textId="13452A23" w:rsidR="00A16C43" w:rsidRPr="00A16C43" w:rsidRDefault="00A16C43" w:rsidP="00A16C43">
      <w:pPr>
        <w:pStyle w:val="ListParagraph"/>
        <w:numPr>
          <w:ilvl w:val="0"/>
          <w:numId w:val="15"/>
        </w:numPr>
        <w:tabs>
          <w:tab w:val="left" w:pos="1134"/>
        </w:tabs>
        <w:ind w:left="0" w:firstLine="720"/>
        <w:jc w:val="both"/>
        <w:rPr>
          <w:bCs/>
          <w:lang w:val="en-US"/>
        </w:rPr>
      </w:pPr>
      <w:r w:rsidRPr="00BF0AF4">
        <w:rPr>
          <w:bCs/>
        </w:rPr>
        <w:lastRenderedPageBreak/>
        <w:t xml:space="preserve">Papildomai </w:t>
      </w:r>
      <w:r w:rsidR="00CF619F">
        <w:rPr>
          <w:bCs/>
        </w:rPr>
        <w:t>Infra</w:t>
      </w:r>
      <w:r w:rsidR="00CF619F" w:rsidRPr="00BF0AF4">
        <w:rPr>
          <w:bCs/>
        </w:rPr>
        <w:t xml:space="preserve"> </w:t>
      </w:r>
      <w:r w:rsidRPr="00BF0AF4">
        <w:rPr>
          <w:bCs/>
        </w:rPr>
        <w:t xml:space="preserve">Rašte Nr. </w:t>
      </w:r>
      <w:r w:rsidRPr="00BF0AF4">
        <w:t xml:space="preserve">SD(INFRA)-836/2022 paaiškino, kad nuo 2020 m. rugpjūčio mėn. VIPAS sistemoje buvo atlikti Antros paslaugos kiekių apskaitos funkcionalumo pakeitimai, leidę stoties </w:t>
      </w:r>
      <w:r w:rsidR="00AA4436">
        <w:t xml:space="preserve">geležinkelio </w:t>
      </w:r>
      <w:r w:rsidRPr="00BF0AF4">
        <w:t>darbuotojui fiksuoti ir VIPAS sistemoje pažymėti ar „</w:t>
      </w:r>
      <w:r w:rsidRPr="00BF0AF4">
        <w:rPr>
          <w:i/>
          <w:iCs/>
        </w:rPr>
        <w:t>konkretus geležinkelio riedmuo Valdytojo geležinkelio kelyje atlieka formavimo veiksmus ar jų neatlieka</w:t>
      </w:r>
      <w:r w:rsidRPr="00BF0AF4">
        <w:t xml:space="preserve">.“ </w:t>
      </w:r>
      <w:r w:rsidR="00D65FDF">
        <w:t>Infra</w:t>
      </w:r>
      <w:r w:rsidR="00D65FDF" w:rsidRPr="00BF0AF4">
        <w:t xml:space="preserve"> </w:t>
      </w:r>
      <w:r w:rsidRPr="00BF0AF4">
        <w:t>nurodė, kad iki 2020 m. rugpjūčio mėnesio stoties darbuotojas neturėjo galimybės VIPAS sistemoje pažymėti konkretaus veiksmo, tačiau Antros paslaugos suteikimas buvo fiksuojamas visais 2019</w:t>
      </w:r>
      <w:r w:rsidRPr="00BF0AF4">
        <w:rPr>
          <w:bCs/>
          <w:color w:val="000000" w:themeColor="text1"/>
        </w:rPr>
        <w:t xml:space="preserve">–2020 </w:t>
      </w:r>
      <w:r w:rsidRPr="00BF0AF4">
        <w:rPr>
          <w:bCs/>
          <w:lang w:eastAsia="lt-LT"/>
        </w:rPr>
        <w:t>TTT</w:t>
      </w:r>
      <w:r w:rsidRPr="00BF0AF4">
        <w:rPr>
          <w:bCs/>
          <w:i/>
          <w:iCs/>
          <w:lang w:eastAsia="lt-LT"/>
        </w:rPr>
        <w:t xml:space="preserve"> </w:t>
      </w:r>
      <w:r w:rsidRPr="00EE7CA0">
        <w:rPr>
          <w:bCs/>
          <w:lang w:eastAsia="lt-LT"/>
        </w:rPr>
        <w:t>„</w:t>
      </w:r>
      <w:r w:rsidRPr="00BF0AF4">
        <w:rPr>
          <w:bCs/>
          <w:i/>
          <w:iCs/>
          <w:lang w:eastAsia="lt-LT"/>
        </w:rPr>
        <w:t>GPĮ taisyklėse aprašytas atvejais, t. y. atvejais, kai</w:t>
      </w:r>
      <w:r w:rsidRPr="00BF0AF4">
        <w:rPr>
          <w:bCs/>
          <w:i/>
          <w:iCs/>
        </w:rPr>
        <w:t xml:space="preserve"> &lt;...&gt; </w:t>
      </w:r>
      <w:r w:rsidRPr="00BF0AF4">
        <w:rPr>
          <w:bCs/>
          <w:i/>
          <w:iCs/>
          <w:lang w:eastAsia="lt-LT"/>
        </w:rPr>
        <w:t xml:space="preserve">buvo suteikiami </w:t>
      </w:r>
      <w:r w:rsidRPr="00BF0AF4">
        <w:rPr>
          <w:i/>
          <w:iCs/>
          <w:lang w:eastAsia="lt-LT"/>
        </w:rPr>
        <w:t>viešosios geležinkelių infrastruktūros geležinkelio stoties keliai</w:t>
      </w:r>
      <w:r w:rsidRPr="00BF0AF4">
        <w:rPr>
          <w:bCs/>
          <w:i/>
          <w:iCs/>
          <w:lang w:eastAsia="lt-LT"/>
        </w:rPr>
        <w:t>,</w:t>
      </w:r>
      <w:r w:rsidRPr="00BF0AF4">
        <w:rPr>
          <w:bCs/>
          <w:i/>
          <w:iCs/>
        </w:rPr>
        <w:t xml:space="preserve"> </w:t>
      </w:r>
      <w:r w:rsidRPr="00BF0AF4">
        <w:rPr>
          <w:bCs/>
          <w:i/>
          <w:iCs/>
          <w:lang w:eastAsia="lt-LT"/>
        </w:rPr>
        <w:t>iešmai, signalizacijos įrenginiai ir kt. traukinio suformavimui pradinėje ar išformavimui galinėje stotyje</w:t>
      </w:r>
      <w:r w:rsidRPr="00EE7CA0">
        <w:rPr>
          <w:bCs/>
          <w:lang w:eastAsia="lt-LT"/>
        </w:rPr>
        <w:t>“.</w:t>
      </w:r>
      <w:r w:rsidRPr="00BF0AF4">
        <w:rPr>
          <w:bCs/>
          <w:lang w:eastAsia="lt-LT"/>
        </w:rPr>
        <w:t xml:space="preserve"> </w:t>
      </w:r>
      <w:r w:rsidR="00D65FDF">
        <w:rPr>
          <w:bCs/>
          <w:lang w:eastAsia="lt-LT"/>
        </w:rPr>
        <w:t>Infra</w:t>
      </w:r>
      <w:r w:rsidR="00D65FDF" w:rsidRPr="00BF0AF4">
        <w:rPr>
          <w:bCs/>
          <w:lang w:eastAsia="lt-LT"/>
        </w:rPr>
        <w:t xml:space="preserve"> </w:t>
      </w:r>
      <w:r w:rsidRPr="00BF0AF4">
        <w:rPr>
          <w:bCs/>
          <w:lang w:eastAsia="lt-LT"/>
        </w:rPr>
        <w:t>pažymėjo, kad neatlikus</w:t>
      </w:r>
      <w:r w:rsidR="006A4E41">
        <w:rPr>
          <w:bCs/>
          <w:lang w:eastAsia="lt-LT"/>
        </w:rPr>
        <w:t xml:space="preserve"> </w:t>
      </w:r>
      <w:r w:rsidRPr="00BF0AF4">
        <w:rPr>
          <w:bCs/>
          <w:lang w:eastAsia="lt-LT"/>
        </w:rPr>
        <w:t>2020 m. rugpjūčio mėn</w:t>
      </w:r>
      <w:r>
        <w:rPr>
          <w:bCs/>
          <w:lang w:eastAsia="lt-LT"/>
        </w:rPr>
        <w:t>.</w:t>
      </w:r>
      <w:r w:rsidRPr="00BF0AF4">
        <w:rPr>
          <w:bCs/>
          <w:lang w:eastAsia="lt-LT"/>
        </w:rPr>
        <w:t xml:space="preserve"> VIPAS sistemos apskaitos funkcionalumų pakeitimų</w:t>
      </w:r>
      <w:r>
        <w:rPr>
          <w:bCs/>
          <w:lang w:eastAsia="lt-LT"/>
        </w:rPr>
        <w:t>,</w:t>
      </w:r>
      <w:r w:rsidRPr="00BF0AF4">
        <w:rPr>
          <w:bCs/>
          <w:lang w:eastAsia="lt-LT"/>
        </w:rPr>
        <w:t xml:space="preserve"> pareiškėjams būtų tekę sumokėti užmokestį už didesnį formuojamų riedmenų kiekį ir atkreipė dėmesį, kad Antros paslaugos teikimo ataskait</w:t>
      </w:r>
      <w:r w:rsidR="00667EAE">
        <w:rPr>
          <w:bCs/>
          <w:lang w:eastAsia="lt-LT"/>
        </w:rPr>
        <w:t>iniu</w:t>
      </w:r>
      <w:r w:rsidRPr="00BF0AF4">
        <w:rPr>
          <w:bCs/>
          <w:lang w:eastAsia="lt-LT"/>
        </w:rPr>
        <w:t xml:space="preserve"> laikotarpiu nuo 2018 m. gegužės 25 d. iki 2020 m. liepos 31 d. </w:t>
      </w:r>
      <w:r w:rsidRPr="00531E7D">
        <w:rPr>
          <w:bCs/>
          <w:lang w:eastAsia="lt-LT"/>
        </w:rPr>
        <w:t>su pareiškėjais</w:t>
      </w:r>
      <w:r w:rsidRPr="00BF0AF4">
        <w:rPr>
          <w:bCs/>
          <w:lang w:eastAsia="lt-LT"/>
        </w:rPr>
        <w:t xml:space="preserve"> buvo suderintos ir to laikotarpio PVM sąskaitos faktūros už Antrą paslaugą apmokėtos, nepaisant to</w:t>
      </w:r>
      <w:r>
        <w:rPr>
          <w:bCs/>
          <w:lang w:eastAsia="lt-LT"/>
        </w:rPr>
        <w:t>,</w:t>
      </w:r>
      <w:r w:rsidRPr="00BF0AF4">
        <w:rPr>
          <w:bCs/>
          <w:lang w:eastAsia="lt-LT"/>
        </w:rPr>
        <w:t xml:space="preserve"> </w:t>
      </w:r>
      <w:r w:rsidR="00D65FDF">
        <w:rPr>
          <w:bCs/>
          <w:lang w:eastAsia="lt-LT"/>
        </w:rPr>
        <w:t>Infra</w:t>
      </w:r>
      <w:r w:rsidR="00D65FDF" w:rsidRPr="00BF0AF4">
        <w:rPr>
          <w:bCs/>
          <w:lang w:eastAsia="lt-LT"/>
        </w:rPr>
        <w:t xml:space="preserve"> </w:t>
      </w:r>
      <w:r>
        <w:rPr>
          <w:bCs/>
          <w:lang w:eastAsia="lt-LT"/>
        </w:rPr>
        <w:t>informavo</w:t>
      </w:r>
      <w:r w:rsidRPr="00BF0AF4">
        <w:rPr>
          <w:bCs/>
          <w:lang w:eastAsia="lt-LT"/>
        </w:rPr>
        <w:t>, kad yra gavęs Transachem</w:t>
      </w:r>
      <w:r>
        <w:rPr>
          <w:bCs/>
          <w:lang w:eastAsia="lt-LT"/>
        </w:rPr>
        <w:t>os</w:t>
      </w:r>
      <w:r w:rsidRPr="00BF0AF4">
        <w:rPr>
          <w:bCs/>
          <w:lang w:eastAsia="lt-LT"/>
        </w:rPr>
        <w:t xml:space="preserve"> raštą, kuriuo minėta bendrovė šiuo metu ginčija </w:t>
      </w:r>
      <w:r w:rsidR="00D65FDF">
        <w:rPr>
          <w:bCs/>
          <w:lang w:eastAsia="lt-LT"/>
        </w:rPr>
        <w:t>Infros</w:t>
      </w:r>
      <w:r w:rsidR="00D65FDF" w:rsidRPr="00BF0AF4">
        <w:rPr>
          <w:bCs/>
          <w:lang w:eastAsia="lt-LT"/>
        </w:rPr>
        <w:t xml:space="preserve"> </w:t>
      </w:r>
      <w:r w:rsidRPr="00BF0AF4">
        <w:rPr>
          <w:bCs/>
          <w:lang w:eastAsia="lt-LT"/>
        </w:rPr>
        <w:t>Antros paslaugos suteiktą kiekį ir prašo perskaičiuoti mokėtiną užmokestį už laikotarpį nuo 2018 m. gegužės 25 d. iki 2020 m. liepos 31 d.</w:t>
      </w:r>
    </w:p>
    <w:p w14:paraId="37C665C9" w14:textId="77777777" w:rsidR="00A16C43" w:rsidRDefault="00A16C43" w:rsidP="00A16C43">
      <w:pPr>
        <w:pStyle w:val="NormalWeb"/>
        <w:spacing w:before="0" w:beforeAutospacing="0" w:after="0" w:afterAutospacing="0"/>
        <w:ind w:firstLine="720"/>
        <w:contextualSpacing/>
        <w:jc w:val="both"/>
        <w:rPr>
          <w:color w:val="000000"/>
          <w:spacing w:val="80"/>
        </w:rPr>
      </w:pPr>
    </w:p>
    <w:p w14:paraId="51F29892" w14:textId="6A3614BC" w:rsidR="00A16C43" w:rsidRPr="00C34928" w:rsidRDefault="00A16C43" w:rsidP="00A16C43">
      <w:pPr>
        <w:pStyle w:val="NormalWeb"/>
        <w:spacing w:before="0" w:beforeAutospacing="0" w:after="0" w:afterAutospacing="0"/>
        <w:ind w:firstLine="720"/>
        <w:contextualSpacing/>
        <w:jc w:val="both"/>
        <w:rPr>
          <w:bCs/>
        </w:rPr>
      </w:pPr>
      <w:r>
        <w:rPr>
          <w:color w:val="000000"/>
          <w:spacing w:val="80"/>
        </w:rPr>
        <w:t>k</w:t>
      </w:r>
      <w:r w:rsidRPr="00C34928">
        <w:rPr>
          <w:color w:val="000000"/>
          <w:spacing w:val="80"/>
        </w:rPr>
        <w:t>onstatuoj</w:t>
      </w:r>
      <w:r w:rsidRPr="00C34928">
        <w:rPr>
          <w:color w:val="000000"/>
        </w:rPr>
        <w:t>u</w:t>
      </w:r>
      <w:r>
        <w:rPr>
          <w:color w:val="000000"/>
        </w:rPr>
        <w:t>, kad</w:t>
      </w:r>
      <w:r w:rsidRPr="00C34928">
        <w:rPr>
          <w:color w:val="000000"/>
        </w:rPr>
        <w:t>:</w:t>
      </w:r>
    </w:p>
    <w:p w14:paraId="62D40B4E" w14:textId="77777777" w:rsidR="00A16C43" w:rsidRPr="00C34928" w:rsidRDefault="00A16C43" w:rsidP="00A16C43">
      <w:pPr>
        <w:pStyle w:val="NormalWeb"/>
        <w:spacing w:before="0" w:beforeAutospacing="0" w:after="0" w:afterAutospacing="0"/>
        <w:ind w:left="1080"/>
        <w:contextualSpacing/>
        <w:jc w:val="both"/>
        <w:rPr>
          <w:bCs/>
        </w:rPr>
      </w:pPr>
    </w:p>
    <w:p w14:paraId="7BC2893F" w14:textId="5F6E34F0" w:rsidR="00A16C43" w:rsidRPr="000D3B48" w:rsidRDefault="00A16C43" w:rsidP="00A16C43">
      <w:pPr>
        <w:pStyle w:val="NormalWeb"/>
        <w:numPr>
          <w:ilvl w:val="0"/>
          <w:numId w:val="15"/>
        </w:numPr>
        <w:tabs>
          <w:tab w:val="left" w:pos="1134"/>
        </w:tabs>
        <w:spacing w:before="0" w:beforeAutospacing="0" w:after="0" w:afterAutospacing="0"/>
        <w:ind w:left="0" w:firstLine="720"/>
        <w:contextualSpacing/>
        <w:jc w:val="both"/>
        <w:rPr>
          <w:bCs/>
        </w:rPr>
      </w:pPr>
      <w:r>
        <w:rPr>
          <w:bCs/>
        </w:rPr>
        <w:t>Tarnyba, vadovaujantis Kodekso 7 straipsnio 4 dalimi yra geležinkelio transporto rinkos reguliuotoja. Tarnybos funkcijos geležinkelių transporto rinkos reguliavimo srityje yra nustatytos Kodekso 7</w:t>
      </w:r>
      <w:r w:rsidRPr="002E2E2F">
        <w:rPr>
          <w:bCs/>
          <w:vertAlign w:val="superscript"/>
        </w:rPr>
        <w:t>1</w:t>
      </w:r>
      <w:r>
        <w:rPr>
          <w:bCs/>
        </w:rPr>
        <w:t xml:space="preserve"> straipsnio 1 dalyje, kurios 1 punkte </w:t>
      </w:r>
      <w:r w:rsidRPr="002B0BC2">
        <w:rPr>
          <w:i/>
          <w:color w:val="000000"/>
        </w:rPr>
        <w:t>inter alia</w:t>
      </w:r>
      <w:r>
        <w:rPr>
          <w:bCs/>
        </w:rPr>
        <w:t xml:space="preserve"> numatyta, kad Tarnyba savo iniciatyva nagrinėja infrastruktūros </w:t>
      </w:r>
      <w:r w:rsidRPr="000D3B48">
        <w:rPr>
          <w:bCs/>
        </w:rPr>
        <w:t>valdytojo</w:t>
      </w:r>
      <w:r>
        <w:rPr>
          <w:bCs/>
        </w:rPr>
        <w:t xml:space="preserve"> veiksmus ir (ar) neveikimą, įskaitant pagal kompetenciją priimtus sprendimus dėl</w:t>
      </w:r>
      <w:r w:rsidRPr="000D3B48">
        <w:rPr>
          <w:bCs/>
        </w:rPr>
        <w:t xml:space="preserve"> </w:t>
      </w:r>
      <w:r w:rsidRPr="000D3B48">
        <w:t xml:space="preserve">užmokesčių už naudojimąsi </w:t>
      </w:r>
      <w:r>
        <w:t>GPĮ</w:t>
      </w:r>
      <w:r w:rsidRPr="000D3B48">
        <w:t xml:space="preserve"> ir šiuose įrenginiuose teikiamomis su geležinkelių transportu susijusiomis paslaugomis ir užmokesčių už su geležinkelių transportu susijusias pagalbines ir papildomas paslaugas dydži</w:t>
      </w:r>
      <w:r>
        <w:t xml:space="preserve">ų. Tarnyba atliko tyrimą dėl </w:t>
      </w:r>
      <w:r w:rsidR="00D65FDF">
        <w:t>Infros</w:t>
      </w:r>
      <w:r>
        <w:t xml:space="preserve"> 2021–2022 TTT galiojimo laikotarpiui nustatytų užmokesčių už teikiamas Paslaugas. </w:t>
      </w:r>
    </w:p>
    <w:p w14:paraId="198D0FF4" w14:textId="77777777" w:rsidR="007B151C" w:rsidRDefault="007B151C" w:rsidP="007B151C">
      <w:pPr>
        <w:pStyle w:val="NormalWeb"/>
        <w:spacing w:before="0" w:beforeAutospacing="0" w:after="0" w:afterAutospacing="0"/>
        <w:ind w:firstLine="720"/>
        <w:contextualSpacing/>
        <w:jc w:val="both"/>
        <w:rPr>
          <w:i/>
          <w:iCs/>
        </w:rPr>
      </w:pPr>
    </w:p>
    <w:p w14:paraId="0D7BC605" w14:textId="60939A23" w:rsidR="007B151C" w:rsidRPr="00821583" w:rsidRDefault="007B151C" w:rsidP="007B151C">
      <w:pPr>
        <w:pStyle w:val="NormalWeb"/>
        <w:spacing w:before="0" w:beforeAutospacing="0" w:after="0" w:afterAutospacing="0"/>
        <w:ind w:firstLine="720"/>
        <w:contextualSpacing/>
        <w:jc w:val="both"/>
        <w:rPr>
          <w:i/>
          <w:iCs/>
        </w:rPr>
      </w:pPr>
      <w:r w:rsidRPr="000D3B48">
        <w:rPr>
          <w:i/>
          <w:iCs/>
        </w:rPr>
        <w:t>Dėl Pirmos paslaugos</w:t>
      </w:r>
    </w:p>
    <w:p w14:paraId="60685D05" w14:textId="77777777" w:rsidR="007B151C" w:rsidRDefault="007B151C" w:rsidP="007B151C">
      <w:pPr>
        <w:pStyle w:val="NormalWeb"/>
        <w:spacing w:before="0" w:beforeAutospacing="0" w:after="0" w:afterAutospacing="0"/>
        <w:ind w:firstLine="720"/>
        <w:contextualSpacing/>
        <w:jc w:val="both"/>
      </w:pPr>
    </w:p>
    <w:p w14:paraId="3B68E2FB" w14:textId="1F24A823" w:rsidR="00534700" w:rsidRPr="00FB681F" w:rsidRDefault="007B151C" w:rsidP="00A16C43">
      <w:pPr>
        <w:pStyle w:val="NormalWeb"/>
        <w:numPr>
          <w:ilvl w:val="0"/>
          <w:numId w:val="15"/>
        </w:numPr>
        <w:tabs>
          <w:tab w:val="left" w:pos="1134"/>
        </w:tabs>
        <w:spacing w:before="0" w:beforeAutospacing="0" w:after="0" w:afterAutospacing="0"/>
        <w:ind w:left="0" w:firstLine="720"/>
        <w:contextualSpacing/>
        <w:jc w:val="both"/>
        <w:rPr>
          <w:bCs/>
        </w:rPr>
      </w:pPr>
      <w:r w:rsidRPr="008324EB">
        <w:t>Kodekso 30</w:t>
      </w:r>
      <w:r w:rsidRPr="008324EB">
        <w:rPr>
          <w:vertAlign w:val="superscript"/>
        </w:rPr>
        <w:t>4</w:t>
      </w:r>
      <w:r w:rsidRPr="008324EB">
        <w:t xml:space="preserve"> straipsnio 3 dalyje numatyta, kad  </w:t>
      </w:r>
      <w:r w:rsidRPr="000A6102">
        <w:t>„</w:t>
      </w:r>
      <w:r w:rsidRPr="00BF0AF4">
        <w:rPr>
          <w:i/>
          <w:iCs/>
        </w:rPr>
        <w:t xml:space="preserve">užmokestis už prieigą prie geležinkelio kelių, </w:t>
      </w:r>
      <w:r w:rsidRPr="00BF0AF4">
        <w:rPr>
          <w:b/>
          <w:bCs/>
          <w:i/>
          <w:iCs/>
        </w:rPr>
        <w:t>sujungtų su geležinkelių paslaugų įrenginiais</w:t>
      </w:r>
      <w:r w:rsidRPr="00BF0AF4">
        <w:rPr>
          <w:i/>
          <w:iCs/>
        </w:rPr>
        <w:t>, turi būti lygus išlaidoms, tiesiogiai patiriamoms vykdant geležinkelių transporto eismą</w:t>
      </w:r>
      <w:r w:rsidRPr="00BF0AF4">
        <w:t>“, t. y. Kodeksas numato</w:t>
      </w:r>
      <w:r w:rsidR="00C613DE">
        <w:t>,</w:t>
      </w:r>
      <w:r w:rsidRPr="00BF0AF4">
        <w:t xml:space="preserve"> </w:t>
      </w:r>
      <w:r>
        <w:t xml:space="preserve">koks turi būti nustatomas </w:t>
      </w:r>
      <w:r w:rsidRPr="00BF0AF4">
        <w:t>apmokestinim</w:t>
      </w:r>
      <w:r>
        <w:t>as</w:t>
      </w:r>
      <w:r w:rsidRPr="00BF0AF4">
        <w:t xml:space="preserve"> geležinkelio keliams, kurie nėra priskirti infrastruktūrai, </w:t>
      </w:r>
      <w:r w:rsidR="007A3FF5">
        <w:t>bet yra</w:t>
      </w:r>
      <w:r w:rsidRPr="00BF0AF4">
        <w:t xml:space="preserve"> skirti pasiekti GPĮ ir gauti juose teikiamas paslaugas.</w:t>
      </w:r>
      <w:r>
        <w:rPr>
          <w:sz w:val="22"/>
          <w:szCs w:val="22"/>
        </w:rPr>
        <w:t xml:space="preserve"> </w:t>
      </w:r>
      <w:r w:rsidR="00A72505" w:rsidRPr="000A6102">
        <w:t>Kodekso 30</w:t>
      </w:r>
      <w:r w:rsidR="00A72505" w:rsidRPr="000A6102">
        <w:rPr>
          <w:vertAlign w:val="superscript"/>
        </w:rPr>
        <w:t xml:space="preserve">4 </w:t>
      </w:r>
      <w:r w:rsidR="00A72505" w:rsidRPr="000A6102">
        <w:t>straipsnio 1 dalyje numatyta, kad</w:t>
      </w:r>
      <w:r w:rsidR="00A72505">
        <w:rPr>
          <w:sz w:val="22"/>
          <w:szCs w:val="22"/>
        </w:rPr>
        <w:t xml:space="preserve"> </w:t>
      </w:r>
      <w:r w:rsidR="00A72505" w:rsidRPr="000A6102">
        <w:t>užmokestį</w:t>
      </w:r>
      <w:r w:rsidR="00A72505" w:rsidRPr="000A6102">
        <w:rPr>
          <w:i/>
          <w:iCs/>
        </w:rPr>
        <w:t xml:space="preserve"> </w:t>
      </w:r>
      <w:r w:rsidR="00A72505" w:rsidRPr="000A6102">
        <w:t>„</w:t>
      </w:r>
      <w:r w:rsidR="00A72505" w:rsidRPr="000A6102">
        <w:rPr>
          <w:i/>
          <w:iCs/>
        </w:rPr>
        <w:t>už naudojimąsi geležinkelių paslaugų įrenginiais, nurodytais šio Kodekso 30</w:t>
      </w:r>
      <w:r w:rsidR="00A72505" w:rsidRPr="000A6102">
        <w:rPr>
          <w:i/>
          <w:iCs/>
          <w:vertAlign w:val="superscript"/>
        </w:rPr>
        <w:t>1</w:t>
      </w:r>
      <w:r w:rsidR="00A72505" w:rsidRPr="000A6102">
        <w:rPr>
          <w:i/>
          <w:iCs/>
        </w:rPr>
        <w:t xml:space="preserve"> straipsnio 1–9 punktuose, </w:t>
      </w:r>
      <w:r w:rsidR="00A72505" w:rsidRPr="000A6102">
        <w:rPr>
          <w:b/>
          <w:bCs/>
          <w:i/>
          <w:iCs/>
        </w:rPr>
        <w:t>juose esančiais geležinkelio keliais</w:t>
      </w:r>
      <w:r w:rsidR="00A72505" w:rsidRPr="000A6102">
        <w:rPr>
          <w:i/>
          <w:iCs/>
        </w:rPr>
        <w:t xml:space="preserve"> ir šiuose įrenginiuose teikiamomis su geležinkelių transportu susijusiomis pagrindinėmis paslaugomis nustato geležinkelių paslaugų įrenginių operatorius</w:t>
      </w:r>
      <w:r w:rsidR="00A72505" w:rsidRPr="000A6102">
        <w:t>“, o šio</w:t>
      </w:r>
      <w:r w:rsidR="00A72505">
        <w:t xml:space="preserve"> straipsnio 2 dalyje numatyta, kad užmokestis </w:t>
      </w:r>
      <w:r w:rsidR="00A72505" w:rsidRPr="00534700">
        <w:t>„</w:t>
      </w:r>
      <w:r w:rsidR="00534700" w:rsidRPr="000A6102">
        <w:rPr>
          <w:i/>
          <w:iCs/>
        </w:rPr>
        <w:t>už naudojimąsi geležinkelių paslaugų įrenginiais, nurodytais šio Kodekso 30</w:t>
      </w:r>
      <w:r w:rsidR="00534700" w:rsidRPr="000A6102">
        <w:rPr>
          <w:i/>
          <w:iCs/>
          <w:vertAlign w:val="superscript"/>
        </w:rPr>
        <w:t>1</w:t>
      </w:r>
      <w:r w:rsidR="00534700" w:rsidRPr="000A6102">
        <w:rPr>
          <w:i/>
          <w:iCs/>
        </w:rPr>
        <w:t xml:space="preserve"> straipsnio 1–9 punktuose, ir šiuose įrenginiuose teikiamomis su geležinkelių transportu susijusiomis pagrindinėmis paslaugomis negali būti didesnis už šių paslaugų teikimo išlaidas, pridėjus pagrįstą pelną</w:t>
      </w:r>
      <w:r w:rsidR="00534700" w:rsidRPr="000A6102">
        <w:t>“</w:t>
      </w:r>
      <w:r w:rsidR="00534700">
        <w:t xml:space="preserve">. </w:t>
      </w:r>
      <w:r w:rsidR="00281E92">
        <w:t xml:space="preserve">Atsižvelgiant į </w:t>
      </w:r>
      <w:r w:rsidR="007F6A40">
        <w:t>Kodeks</w:t>
      </w:r>
      <w:r w:rsidR="00960E4F">
        <w:t>e numatyt</w:t>
      </w:r>
      <w:r w:rsidR="00E53991">
        <w:t>ą</w:t>
      </w:r>
      <w:r w:rsidR="00960E4F">
        <w:t xml:space="preserve"> skirting</w:t>
      </w:r>
      <w:r w:rsidR="00E53991">
        <w:t>ą</w:t>
      </w:r>
      <w:r w:rsidR="00960E4F">
        <w:t xml:space="preserve"> geležinkelio kelių apmokestinimą</w:t>
      </w:r>
      <w:r w:rsidR="00534700">
        <w:t xml:space="preserve">, svarbu </w:t>
      </w:r>
      <w:r w:rsidR="00960E4F">
        <w:t xml:space="preserve">tinkamai </w:t>
      </w:r>
      <w:r w:rsidR="00534700">
        <w:t>nustatyti</w:t>
      </w:r>
      <w:r w:rsidR="00752DE9">
        <w:t>,</w:t>
      </w:r>
      <w:r w:rsidR="00534700">
        <w:t xml:space="preserve"> ar geležinkelio kelias yra</w:t>
      </w:r>
      <w:r w:rsidR="00DB5379">
        <w:t xml:space="preserve"> (priklauso)</w:t>
      </w:r>
      <w:r w:rsidR="00534700">
        <w:t xml:space="preserve"> GPĮ</w:t>
      </w:r>
      <w:r w:rsidR="00E53991">
        <w:t>,</w:t>
      </w:r>
      <w:r w:rsidR="00534700">
        <w:t xml:space="preserve"> ar tai yra geležinkelio kelias</w:t>
      </w:r>
      <w:r w:rsidR="00EA28AA">
        <w:t>,</w:t>
      </w:r>
      <w:r w:rsidR="00534700">
        <w:t xml:space="preserve"> sujungtas su GPĮ ir skirtas jį pasiekti</w:t>
      </w:r>
      <w:r w:rsidR="000945F4">
        <w:t>, nes nuo to priklauso</w:t>
      </w:r>
      <w:r w:rsidR="00752DE9">
        <w:t>,</w:t>
      </w:r>
      <w:r w:rsidR="000945F4">
        <w:t xml:space="preserve"> ar už tokio geležinkelio kelio naudojimąsi </w:t>
      </w:r>
      <w:r w:rsidR="004356B4">
        <w:t>užmokestis turi būti lygus išlaidoms,</w:t>
      </w:r>
      <w:r w:rsidR="003D2BC6">
        <w:t xml:space="preserve"> tiesiogiai patiriamoms vykdant geležinkelių transporto eismą</w:t>
      </w:r>
      <w:r w:rsidR="00D65FDF">
        <w:t>,</w:t>
      </w:r>
      <w:r w:rsidR="003D2BC6">
        <w:t xml:space="preserve"> ar jis gali būti </w:t>
      </w:r>
      <w:r w:rsidR="00D87B7C">
        <w:t xml:space="preserve">lygus išlaidoms, patiriamoms teikiant </w:t>
      </w:r>
      <w:r w:rsidR="00773B4C" w:rsidRPr="000A6102">
        <w:t>su geležinkelių transportu susijusias pagrindines paslaugas, pridėjus pagrįstą pelną</w:t>
      </w:r>
      <w:r w:rsidR="00534700" w:rsidRPr="00773B4C">
        <w:t>.</w:t>
      </w:r>
    </w:p>
    <w:p w14:paraId="4A746723" w14:textId="72270989" w:rsidR="00FB681F" w:rsidRPr="00531E7D" w:rsidRDefault="00FB681F" w:rsidP="00A16C43">
      <w:pPr>
        <w:pStyle w:val="NormalWeb"/>
        <w:numPr>
          <w:ilvl w:val="0"/>
          <w:numId w:val="15"/>
        </w:numPr>
        <w:tabs>
          <w:tab w:val="left" w:pos="1134"/>
        </w:tabs>
        <w:spacing w:before="0" w:beforeAutospacing="0" w:after="0" w:afterAutospacing="0"/>
        <w:ind w:left="0" w:firstLine="720"/>
        <w:contextualSpacing/>
        <w:jc w:val="both"/>
        <w:rPr>
          <w:bCs/>
        </w:rPr>
      </w:pPr>
      <w:r w:rsidRPr="00531E7D">
        <w:t>Kodekso 3 straipsnio 38 dalyje apibrėžta, kad privažiuojam</w:t>
      </w:r>
      <w:r w:rsidR="008C2C02">
        <w:t>ieji</w:t>
      </w:r>
      <w:r w:rsidRPr="00531E7D">
        <w:t xml:space="preserve"> geležinkelio kelia yra „</w:t>
      </w:r>
      <w:r w:rsidRPr="00531E7D">
        <w:rPr>
          <w:i/>
          <w:iCs/>
        </w:rPr>
        <w:t xml:space="preserve">fizinių ir juridinių asmenų veiklai vykdyti skirti geležinkelio keliai, tiesiogiai ar per kitus geležinkelio kelius </w:t>
      </w:r>
      <w:r w:rsidRPr="00531E7D">
        <w:rPr>
          <w:b/>
          <w:bCs/>
          <w:i/>
          <w:iCs/>
        </w:rPr>
        <w:t>sujungti su geležinkelio stotimi</w:t>
      </w:r>
      <w:r w:rsidRPr="00531E7D">
        <w:t>“</w:t>
      </w:r>
      <w:r w:rsidR="005D0267" w:rsidRPr="00531E7D">
        <w:t>. Siekiant nustatyti</w:t>
      </w:r>
      <w:r w:rsidR="00E70DE6" w:rsidRPr="00531E7D">
        <w:t>,</w:t>
      </w:r>
      <w:r w:rsidR="005D0267" w:rsidRPr="00531E7D">
        <w:t xml:space="preserve"> ar privažiuojamasis geležinkelio kelias privalo būti apmokestinamas pagal Kodekso 30</w:t>
      </w:r>
      <w:r w:rsidR="005D0267" w:rsidRPr="00531E7D">
        <w:rPr>
          <w:vertAlign w:val="superscript"/>
        </w:rPr>
        <w:t>4</w:t>
      </w:r>
      <w:r w:rsidR="005D0267" w:rsidRPr="00531E7D">
        <w:t xml:space="preserve"> straipsnio 3 dalį, svarbu įvertinti</w:t>
      </w:r>
      <w:r w:rsidR="00EA28AA" w:rsidRPr="00531E7D">
        <w:t>,</w:t>
      </w:r>
      <w:r w:rsidR="005D0267" w:rsidRPr="00531E7D">
        <w:t xml:space="preserve"> ar geležinkelio stot</w:t>
      </w:r>
      <w:r w:rsidR="000C6704" w:rsidRPr="00531E7D">
        <w:t>yje yra GPĮ ir j</w:t>
      </w:r>
      <w:r w:rsidR="00FC48E7" w:rsidRPr="00531E7D">
        <w:t>uose</w:t>
      </w:r>
      <w:r w:rsidR="000C6704" w:rsidRPr="00531E7D">
        <w:t xml:space="preserve"> yra teikiamos</w:t>
      </w:r>
      <w:r w:rsidR="005D0267" w:rsidRPr="00531E7D">
        <w:t xml:space="preserve"> GPĮ</w:t>
      </w:r>
      <w:r w:rsidR="000C6704" w:rsidRPr="00531E7D">
        <w:t xml:space="preserve"> paslaugos</w:t>
      </w:r>
      <w:r w:rsidR="005D0267" w:rsidRPr="00531E7D">
        <w:t>.</w:t>
      </w:r>
    </w:p>
    <w:p w14:paraId="2EB82D40" w14:textId="0628C0F0" w:rsidR="00A34AFE" w:rsidRPr="00A34AFE" w:rsidRDefault="00A72505" w:rsidP="00A34AFE">
      <w:pPr>
        <w:pStyle w:val="NormalWeb"/>
        <w:numPr>
          <w:ilvl w:val="0"/>
          <w:numId w:val="15"/>
        </w:numPr>
        <w:tabs>
          <w:tab w:val="left" w:pos="1134"/>
        </w:tabs>
        <w:spacing w:before="0" w:beforeAutospacing="0" w:after="0" w:afterAutospacing="0"/>
        <w:ind w:left="0" w:firstLine="720"/>
        <w:contextualSpacing/>
        <w:jc w:val="both"/>
        <w:rPr>
          <w:bCs/>
        </w:rPr>
      </w:pPr>
      <w:r>
        <w:rPr>
          <w:sz w:val="22"/>
          <w:szCs w:val="22"/>
        </w:rPr>
        <w:lastRenderedPageBreak/>
        <w:t xml:space="preserve"> </w:t>
      </w:r>
      <w:r w:rsidR="00A34AFE">
        <w:t>Kodekso 3 straipsnio 8</w:t>
      </w:r>
      <w:r w:rsidR="00A34AFE">
        <w:rPr>
          <w:vertAlign w:val="superscript"/>
        </w:rPr>
        <w:t xml:space="preserve">2 </w:t>
      </w:r>
      <w:r w:rsidR="00A34AFE" w:rsidRPr="00084E68">
        <w:rPr>
          <w:lang w:val="en-US"/>
        </w:rPr>
        <w:t>dal</w:t>
      </w:r>
      <w:r w:rsidR="00A34AFE">
        <w:rPr>
          <w:lang w:val="en-US"/>
        </w:rPr>
        <w:t>yje</w:t>
      </w:r>
      <w:r w:rsidR="00A34AFE">
        <w:rPr>
          <w:rStyle w:val="FootnoteReference"/>
          <w:lang w:val="en-US"/>
        </w:rPr>
        <w:footnoteReference w:id="11"/>
      </w:r>
      <w:r w:rsidR="00A34AFE">
        <w:rPr>
          <w:lang w:val="en-US"/>
        </w:rPr>
        <w:t xml:space="preserve"> numatyta, kad</w:t>
      </w:r>
      <w:r w:rsidR="00A34AFE">
        <w:t xml:space="preserve"> „</w:t>
      </w:r>
      <w:r w:rsidR="00A34AFE" w:rsidRPr="00084E68">
        <w:rPr>
          <w:i/>
          <w:iCs/>
        </w:rPr>
        <w:t>geležinkelio stot</w:t>
      </w:r>
      <w:r w:rsidR="00A34AFE">
        <w:rPr>
          <w:i/>
          <w:iCs/>
        </w:rPr>
        <w:t>is –</w:t>
      </w:r>
      <w:r w:rsidR="00A34AFE" w:rsidRPr="00084E68">
        <w:rPr>
          <w:i/>
          <w:iCs/>
        </w:rPr>
        <w:t xml:space="preserve"> geležinkelio kelių, </w:t>
      </w:r>
      <w:r w:rsidR="00A34AFE" w:rsidRPr="000A6102">
        <w:rPr>
          <w:b/>
          <w:bCs/>
          <w:i/>
          <w:iCs/>
        </w:rPr>
        <w:t xml:space="preserve">pastatų, statinių ir įrengimų kompleksas, </w:t>
      </w:r>
      <w:r w:rsidR="00A34AFE" w:rsidRPr="00BF0AF4">
        <w:rPr>
          <w:b/>
          <w:bCs/>
          <w:i/>
          <w:iCs/>
        </w:rPr>
        <w:t>užimantis tam tikrą žemės sklypą</w:t>
      </w:r>
      <w:r w:rsidR="00A34AFE" w:rsidRPr="00084E68">
        <w:rPr>
          <w:i/>
          <w:iCs/>
        </w:rPr>
        <w:t xml:space="preserve"> ir skirtas traukiniams priimti, skirstyti, formuoti, praleisti ir išleisti, keleiviams, bagažo ar krovinių siuntėjams (gavėjams) aptarnauti</w:t>
      </w:r>
      <w:r w:rsidR="00A34AFE">
        <w:t xml:space="preserve">“, o </w:t>
      </w:r>
      <w:r w:rsidR="00A34AFE" w:rsidRPr="00DB7EAB">
        <w:t>Kodekso 3 straipsnio 13 dal</w:t>
      </w:r>
      <w:r w:rsidR="00A34AFE">
        <w:t>yje nurodyta,</w:t>
      </w:r>
      <w:r w:rsidR="00A34AFE" w:rsidRPr="00DB7EAB">
        <w:t xml:space="preserve"> </w:t>
      </w:r>
      <w:r w:rsidR="00A34AFE">
        <w:t xml:space="preserve">kad </w:t>
      </w:r>
      <w:r w:rsidR="00A34AFE" w:rsidRPr="002761A8">
        <w:t>GPĮ</w:t>
      </w:r>
      <w:r w:rsidR="00A34AFE">
        <w:t xml:space="preserve"> </w:t>
      </w:r>
      <w:r w:rsidR="00A34AFE" w:rsidRPr="00084E68">
        <w:rPr>
          <w:i/>
          <w:iCs/>
        </w:rPr>
        <w:t>–</w:t>
      </w:r>
      <w:r w:rsidR="00A34AFE" w:rsidRPr="002761A8">
        <w:rPr>
          <w:i/>
          <w:iCs/>
        </w:rPr>
        <w:t xml:space="preserve"> </w:t>
      </w:r>
      <w:r w:rsidR="00A34AFE" w:rsidRPr="00C1049E">
        <w:t>„</w:t>
      </w:r>
      <w:r w:rsidR="00A34AFE" w:rsidRPr="002761A8">
        <w:rPr>
          <w:i/>
          <w:iCs/>
        </w:rPr>
        <w:t>į</w:t>
      </w:r>
      <w:r w:rsidR="00A34AFE" w:rsidRPr="00084E68">
        <w:rPr>
          <w:i/>
          <w:iCs/>
        </w:rPr>
        <w:t xml:space="preserve">renginys, </w:t>
      </w:r>
      <w:r w:rsidR="00A34AFE" w:rsidRPr="00BF0AF4">
        <w:rPr>
          <w:b/>
          <w:bCs/>
          <w:i/>
          <w:iCs/>
        </w:rPr>
        <w:t>įskaitant žemės sklypą</w:t>
      </w:r>
      <w:r w:rsidR="00A34AFE" w:rsidRPr="00084E68">
        <w:rPr>
          <w:i/>
          <w:iCs/>
        </w:rPr>
        <w:t>, įrangą ir statinį, kuris visas arba iš dalies buvo specialiai paruoštas, kad būtų galima teikti vieną ar daugiau su geležinkelių transportu susijusių pagrindinių, papildomų ir (ar) pagalbinių paslaugų</w:t>
      </w:r>
      <w:r w:rsidR="00A34AFE">
        <w:t xml:space="preserve">“. Kodekso </w:t>
      </w:r>
      <w:r w:rsidR="00A34AFE" w:rsidRPr="00AF1503">
        <w:t>30</w:t>
      </w:r>
      <w:r w:rsidR="00A34AFE">
        <w:rPr>
          <w:vertAlign w:val="superscript"/>
        </w:rPr>
        <w:t>1</w:t>
      </w:r>
      <w:r w:rsidR="00A34AFE">
        <w:t xml:space="preserve"> straipsnis numato, kokie įrenginiai yra laikomi </w:t>
      </w:r>
      <w:r w:rsidR="00A34AFE" w:rsidRPr="00AF1503">
        <w:t>GPĮ</w:t>
      </w:r>
      <w:r w:rsidR="00A34AFE">
        <w:t>.</w:t>
      </w:r>
      <w:r w:rsidR="00815932">
        <w:t xml:space="preserve"> Atitinkamai Kodekso </w:t>
      </w:r>
      <w:r w:rsidR="00815932" w:rsidRPr="00AF1503">
        <w:t>30</w:t>
      </w:r>
      <w:r w:rsidR="00815932">
        <w:rPr>
          <w:vertAlign w:val="superscript"/>
        </w:rPr>
        <w:t>1</w:t>
      </w:r>
      <w:r w:rsidR="00815932">
        <w:t xml:space="preserve"> straipsnio 3 punkte yra įvardinti kaupiamieji kelynai, traukinių formavimo ir manevravimo įrenginiai (toliau – KKTFMĮ), kuriuose, vadovaujantis 2021–2022 TTT galiojimo laikotarpio Kaupiamųjų kelynų, traukinių formavimo ir manevravimo įrenginių aprašo</w:t>
      </w:r>
      <w:r w:rsidR="00815932">
        <w:rPr>
          <w:rStyle w:val="FootnoteReference"/>
        </w:rPr>
        <w:footnoteReference w:id="12"/>
      </w:r>
      <w:r w:rsidR="00815932">
        <w:t xml:space="preserve"> (toliau – KKTFMĮ aprašas) 2.1.1 papunkčiu, teikiama Pirma paslauga. </w:t>
      </w:r>
      <w:r w:rsidR="00D066CF">
        <w:t xml:space="preserve">Pažymėtina, kad </w:t>
      </w:r>
      <w:r w:rsidR="00815932">
        <w:t>KKTFMĮ aprašo 3 punkte yra nurodytos vietos,</w:t>
      </w:r>
      <w:r w:rsidR="00815932" w:rsidRPr="0014233A">
        <w:t xml:space="preserve"> </w:t>
      </w:r>
      <w:r w:rsidR="00815932">
        <w:t>t. y. išvardintos geležinkelio stotys, kuriose</w:t>
      </w:r>
      <w:r w:rsidR="00035EE1">
        <w:t xml:space="preserve"> yra</w:t>
      </w:r>
      <w:r w:rsidR="00815932">
        <w:t xml:space="preserve"> teikiama Pirma paslauga</w:t>
      </w:r>
      <w:r w:rsidR="00035EE1">
        <w:t>. Atsižvelgdama į tai</w:t>
      </w:r>
      <w:r w:rsidR="00815932">
        <w:t xml:space="preserve">, Tarnyba  konstatuoja, kad KKTFMĮ yra geležinkelio </w:t>
      </w:r>
      <w:r w:rsidR="007360D9">
        <w:t>stotyse</w:t>
      </w:r>
      <w:r w:rsidR="00815932">
        <w:t xml:space="preserve">, </w:t>
      </w:r>
      <w:r w:rsidR="00D07844">
        <w:t>k</w:t>
      </w:r>
      <w:r w:rsidR="00815932">
        <w:t>ą patvirtina ir KKTFMĮ aprašo 3 punkto lentelėje nurodyta informacija, kad KKTFMĮ „</w:t>
      </w:r>
      <w:r w:rsidR="00815932" w:rsidRPr="00BF0AF4">
        <w:rPr>
          <w:i/>
          <w:iCs/>
        </w:rPr>
        <w:t>Techninės charakteristikos pateikiamos AB „Lietuvos geležinkeliai“ Stoties knygose</w:t>
      </w:r>
      <w:r w:rsidR="00815932">
        <w:t>“.</w:t>
      </w:r>
    </w:p>
    <w:p w14:paraId="2B0998E8" w14:textId="176F2940" w:rsidR="00A045B3" w:rsidRPr="00B0487D" w:rsidRDefault="00EA28AA" w:rsidP="007B151C">
      <w:pPr>
        <w:pStyle w:val="NormalWeb"/>
        <w:numPr>
          <w:ilvl w:val="0"/>
          <w:numId w:val="15"/>
        </w:numPr>
        <w:tabs>
          <w:tab w:val="left" w:pos="1134"/>
        </w:tabs>
        <w:spacing w:before="0" w:beforeAutospacing="0" w:after="0" w:afterAutospacing="0"/>
        <w:ind w:left="0" w:firstLine="720"/>
        <w:contextualSpacing/>
        <w:jc w:val="both"/>
        <w:rPr>
          <w:bCs/>
        </w:rPr>
      </w:pPr>
      <w:r>
        <w:t xml:space="preserve"> </w:t>
      </w:r>
      <w:r w:rsidR="00A045B3">
        <w:t>Geležinkelio stoties kelių ir pačių geležinkelio stočių projektavimo ir rekonstravimo reikalavimus nustato Geležinkelio stočių projektavimo taisyklės,</w:t>
      </w:r>
      <w:r w:rsidR="00A045B3">
        <w:rPr>
          <w:rStyle w:val="FootnoteReference"/>
        </w:rPr>
        <w:footnoteReference w:id="13"/>
      </w:r>
      <w:r w:rsidR="00A045B3">
        <w:t xml:space="preserve"> kurių 9 punkte numatyta, kad „</w:t>
      </w:r>
      <w:r w:rsidR="00A045B3" w:rsidRPr="00BF0AF4">
        <w:rPr>
          <w:i/>
          <w:iCs/>
        </w:rPr>
        <w:t xml:space="preserve">Privažiuojamieji geležinkelio keliai tiesiami ir </w:t>
      </w:r>
      <w:r w:rsidR="00A045B3" w:rsidRPr="00BF0AF4">
        <w:rPr>
          <w:b/>
          <w:bCs/>
          <w:i/>
          <w:iCs/>
        </w:rPr>
        <w:t>prijungiami prie tų stočių</w:t>
      </w:r>
      <w:r w:rsidR="00A045B3" w:rsidRPr="00BF0AF4">
        <w:rPr>
          <w:i/>
          <w:iCs/>
        </w:rPr>
        <w:t>, kuriose atliekami krovimo ir komerciniai darbai. Privažiuojamųjų geležinkelio kelių tiesimo, rekonstravimo, jų jungimo prie viešosios geležinkelių infrastruktūros ir jų priėmimo eksploatuoti tvarką nustato susisiekimo ministras.</w:t>
      </w:r>
      <w:r w:rsidR="00A045B3">
        <w:rPr>
          <w:bCs/>
        </w:rPr>
        <w:t>“</w:t>
      </w:r>
      <w:r w:rsidR="00A045B3" w:rsidRPr="007D4378">
        <w:rPr>
          <w:bCs/>
        </w:rPr>
        <w:t xml:space="preserve"> </w:t>
      </w:r>
      <w:r w:rsidR="00A045B3">
        <w:rPr>
          <w:bCs/>
        </w:rPr>
        <w:t>Taigi</w:t>
      </w:r>
      <w:r w:rsidR="002648C6">
        <w:rPr>
          <w:bCs/>
        </w:rPr>
        <w:t>,</w:t>
      </w:r>
      <w:r w:rsidR="00A045B3">
        <w:rPr>
          <w:bCs/>
        </w:rPr>
        <w:t xml:space="preserve"> šiose taisyklėse </w:t>
      </w:r>
      <w:r w:rsidR="00F0443B">
        <w:rPr>
          <w:bCs/>
        </w:rPr>
        <w:t xml:space="preserve">yra </w:t>
      </w:r>
      <w:r w:rsidR="00A045B3">
        <w:rPr>
          <w:bCs/>
        </w:rPr>
        <w:t>įtvirtinta, kad privažiuojamieji geležinkelio keliai yra atskiri geležinkelio keliai, jie prijungti prie geležinkelio stoties, tačiau jie nėra laikytini geležinkelio stoties keliais ir jiems yra taikomi skirtingi įrengimo, rekonstravimo ir kiti reikalavimai bei taisyklės.</w:t>
      </w:r>
    </w:p>
    <w:p w14:paraId="6FFE0327" w14:textId="59350B64" w:rsidR="007B151C" w:rsidRPr="000766CA" w:rsidRDefault="007B151C" w:rsidP="007B151C">
      <w:pPr>
        <w:pStyle w:val="NormalWeb"/>
        <w:numPr>
          <w:ilvl w:val="0"/>
          <w:numId w:val="15"/>
        </w:numPr>
        <w:tabs>
          <w:tab w:val="left" w:pos="1134"/>
        </w:tabs>
        <w:spacing w:before="0" w:beforeAutospacing="0" w:after="0" w:afterAutospacing="0"/>
        <w:ind w:left="0" w:firstLine="720"/>
        <w:contextualSpacing/>
        <w:jc w:val="both"/>
        <w:rPr>
          <w:bCs/>
        </w:rPr>
      </w:pPr>
      <w:r w:rsidRPr="00822DC4">
        <w:t>TGNN</w:t>
      </w:r>
      <w:r>
        <w:t xml:space="preserve"> 2.19 papunktyje numatyta, kad </w:t>
      </w:r>
      <w:r w:rsidRPr="00084E68">
        <w:rPr>
          <w:bCs/>
        </w:rPr>
        <w:t>„</w:t>
      </w:r>
      <w:r w:rsidRPr="00084E68">
        <w:rPr>
          <w:i/>
          <w:iCs/>
        </w:rPr>
        <w:t>st</w:t>
      </w:r>
      <w:r w:rsidRPr="00084E68">
        <w:rPr>
          <w:bCs/>
          <w:i/>
          <w:iCs/>
        </w:rPr>
        <w:t xml:space="preserve">oties keliai - </w:t>
      </w:r>
      <w:r w:rsidRPr="00BF0AF4">
        <w:rPr>
          <w:b/>
          <w:i/>
          <w:iCs/>
        </w:rPr>
        <w:t>visi stotyje</w:t>
      </w:r>
      <w:r w:rsidRPr="00594447">
        <w:rPr>
          <w:b/>
          <w:i/>
          <w:iCs/>
        </w:rPr>
        <w:t xml:space="preserve"> </w:t>
      </w:r>
      <w:r w:rsidRPr="00BF0AF4">
        <w:rPr>
          <w:b/>
          <w:i/>
          <w:iCs/>
        </w:rPr>
        <w:t>esantys keliai</w:t>
      </w:r>
      <w:r w:rsidRPr="00084E68">
        <w:rPr>
          <w:bCs/>
          <w:i/>
          <w:iCs/>
        </w:rPr>
        <w:t>: pagrindiniai, atvykimo, išvykimo, kaupiamieji, skirstymo, krovimo, depo (lokomotyvų ir vagonų), apsauginiai aklakeliai, jungiamieji (jungiantys atskirus stoties kelynus, vedantys į konteinerių punktus, degalų sandėlius, bazes, skirstomąsias platformas, vagonų valyklas, plovyklas, dezinfekcijos bei riedmenų remonto punktus ir kt.)</w:t>
      </w:r>
      <w:r w:rsidRPr="00594447">
        <w:rPr>
          <w:bCs/>
          <w:i/>
          <w:iCs/>
        </w:rPr>
        <w:t xml:space="preserve"> </w:t>
      </w:r>
      <w:r w:rsidRPr="004B1039">
        <w:rPr>
          <w:bCs/>
          <w:i/>
          <w:iCs/>
        </w:rPr>
        <w:t>bei kiti keliai, kurių paskirtis nustatoma pagal atliekamą darbą</w:t>
      </w:r>
      <w:r w:rsidRPr="00C1049E">
        <w:rPr>
          <w:bCs/>
        </w:rPr>
        <w:t>“</w:t>
      </w:r>
      <w:r>
        <w:rPr>
          <w:bCs/>
        </w:rPr>
        <w:t>. Konstatuotina, kad pagrindinė sąlyga, kad geležinkelio kelias būtų pripažintas geležinkelio stoties keliu</w:t>
      </w:r>
      <w:r w:rsidR="00785C9E">
        <w:rPr>
          <w:bCs/>
        </w:rPr>
        <w:t>, kuris gali būti naudojamas teikti GPĮ paslaugas,</w:t>
      </w:r>
      <w:r>
        <w:rPr>
          <w:bCs/>
        </w:rPr>
        <w:t xml:space="preserve"> ir už naudojimąsi juo būtų galima apmokestinti pagal Kodekso </w:t>
      </w:r>
      <w:r>
        <w:t>30</w:t>
      </w:r>
      <w:r>
        <w:rPr>
          <w:vertAlign w:val="superscript"/>
        </w:rPr>
        <w:t>4</w:t>
      </w:r>
      <w:r>
        <w:t xml:space="preserve"> straipsnio 1 dalyje numatytą tvarką, yra tai, kad kelias turi būti geležinkelio stotyje. Geležinkelio stoties ribas apibrėžia TGNN 16.2 papunktis, kuriame numatyta, kad geležinkelio stoties riba vien</w:t>
      </w:r>
      <w:r w:rsidR="00E92469">
        <w:t>ke</w:t>
      </w:r>
      <w:r>
        <w:t xml:space="preserve">liuose ruožuose – įleidžiamieji šviesoforai, dvikeliuose ruožuose — atskirai kiekvienam pagrindiniam geležinkelio keliui — iš vienos pusės įleidžiamasis šviesoforas, iš kitos — signalinis ženklas „Stoties riba“, statomas ne arčiau kaip 50 m nuo paskutinio iešmo smailių arba riboženklio. Dvikeliuose ruožuose, kuriuose įrengta dvipusė automatinė blokuotė, kiekvieno pagrindinio geležinkelio kelio geležinkelio stoties riba yra įleidžiamieji šviesoforai. </w:t>
      </w:r>
      <w:r w:rsidR="007E641A">
        <w:t xml:space="preserve">Atsižvelgiant į tai, kad pagal </w:t>
      </w:r>
      <w:r>
        <w:rPr>
          <w:bCs/>
        </w:rPr>
        <w:t>Signalizacijos taisyklių 8 punkt</w:t>
      </w:r>
      <w:r w:rsidR="007E641A">
        <w:rPr>
          <w:bCs/>
        </w:rPr>
        <w:t>ą</w:t>
      </w:r>
      <w:r>
        <w:rPr>
          <w:bCs/>
        </w:rPr>
        <w:t xml:space="preserve"> </w:t>
      </w:r>
      <w:r>
        <w:rPr>
          <w:color w:val="000000"/>
        </w:rPr>
        <w:t>vienas šviesoforas gali turėti kelių šviesoforų (įleidžiamojo ir išleidžiamojo, išleidžiamojo ir manevrų, išleidžiamojo ir maršruto ir kt.) paskirtis</w:t>
      </w:r>
      <w:r w:rsidR="007E641A">
        <w:rPr>
          <w:color w:val="000000"/>
        </w:rPr>
        <w:t xml:space="preserve">, atmestini kaip nepagrįsti </w:t>
      </w:r>
      <w:r w:rsidR="002648C6">
        <w:rPr>
          <w:color w:val="000000"/>
        </w:rPr>
        <w:t xml:space="preserve">Infros </w:t>
      </w:r>
      <w:r>
        <w:rPr>
          <w:color w:val="000000"/>
        </w:rPr>
        <w:t xml:space="preserve">argumentai, </w:t>
      </w:r>
      <w:r>
        <w:t>kad manevrinis šviesoforas negali būt</w:t>
      </w:r>
      <w:r w:rsidR="007E641A">
        <w:t>i</w:t>
      </w:r>
      <w:r w:rsidR="00822DC4">
        <w:t xml:space="preserve"> </w:t>
      </w:r>
      <w:r>
        <w:t xml:space="preserve"> laikomas įleidžiamuoju ir žyminčiu geležinkelio stoties ribą </w:t>
      </w:r>
      <w:r w:rsidR="002648C6">
        <w:t xml:space="preserve">su </w:t>
      </w:r>
      <w:r>
        <w:t>privažiuojamaisiais keliais ir tik kirtus įleidžiamąj</w:t>
      </w:r>
      <w:r w:rsidR="00907B5E">
        <w:t>į</w:t>
      </w:r>
      <w:r>
        <w:t xml:space="preserve"> šviesoforą laikytina, kad išvažiuojama iš geležinkelio stoties į kitus nei geležinkelio stoties kelius</w:t>
      </w:r>
      <w:r w:rsidR="007E641A">
        <w:t>.</w:t>
      </w:r>
      <w:r w:rsidR="00822DC4">
        <w:t xml:space="preserve"> </w:t>
      </w:r>
      <w:r>
        <w:t xml:space="preserve">  </w:t>
      </w:r>
    </w:p>
    <w:p w14:paraId="166DF582" w14:textId="00427294" w:rsidR="000766CA" w:rsidRPr="00531E7D" w:rsidRDefault="000766CA" w:rsidP="000766CA">
      <w:pPr>
        <w:pStyle w:val="NormalWeb"/>
        <w:numPr>
          <w:ilvl w:val="0"/>
          <w:numId w:val="15"/>
        </w:numPr>
        <w:tabs>
          <w:tab w:val="left" w:pos="1134"/>
        </w:tabs>
        <w:spacing w:before="0" w:beforeAutospacing="0" w:after="0" w:afterAutospacing="0"/>
        <w:ind w:left="0" w:firstLine="720"/>
        <w:contextualSpacing/>
        <w:jc w:val="both"/>
        <w:rPr>
          <w:bCs/>
        </w:rPr>
      </w:pPr>
      <w:r w:rsidRPr="00531E7D">
        <w:t>Atsižvelgiant į Kodekso 3 straipsnio 8</w:t>
      </w:r>
      <w:r w:rsidRPr="00531E7D">
        <w:rPr>
          <w:vertAlign w:val="superscript"/>
        </w:rPr>
        <w:t>2</w:t>
      </w:r>
      <w:r w:rsidRPr="00531E7D">
        <w:t xml:space="preserve"> dalyje </w:t>
      </w:r>
      <w:r w:rsidR="007346BE" w:rsidRPr="00531E7D">
        <w:t>ir</w:t>
      </w:r>
      <w:r w:rsidRPr="00531E7D">
        <w:t xml:space="preserve"> 13 dalyje įtvirtintus geležinkelio stoties ir GPĮ apibrėžimus, kuriuose numatyta, kad tiek geležinkelio stotis, tiek GPĮ turi užimti tam tikrą žemės sklypą, darytina išvada, kad geležinkelio stotis</w:t>
      </w:r>
      <w:r w:rsidR="00457135" w:rsidRPr="00531E7D">
        <w:t xml:space="preserve"> turi aiškiai apibrėžtas ribas, dėl ko ir</w:t>
      </w:r>
      <w:r w:rsidRPr="00531E7D">
        <w:t xml:space="preserve"> GPĮ</w:t>
      </w:r>
      <w:r w:rsidR="00457135" w:rsidRPr="00531E7D">
        <w:t xml:space="preserve"> esantis geležinkelio stotyje turi</w:t>
      </w:r>
      <w:r w:rsidR="00DD70CE" w:rsidRPr="00531E7D">
        <w:t xml:space="preserve"> </w:t>
      </w:r>
      <w:r w:rsidR="001267D3" w:rsidRPr="00531E7D">
        <w:t xml:space="preserve">aiškiai apibrėžtą </w:t>
      </w:r>
      <w:r w:rsidR="00DD70CE" w:rsidRPr="00531E7D">
        <w:t>teritoriją,</w:t>
      </w:r>
      <w:r w:rsidR="001267D3" w:rsidRPr="00531E7D">
        <w:t xml:space="preserve"> kurioje gali būti teikiamos GPĮ paslaugos, nes </w:t>
      </w:r>
      <w:r w:rsidR="00A54339" w:rsidRPr="00531E7D">
        <w:t xml:space="preserve">GPĮ </w:t>
      </w:r>
      <w:r w:rsidR="00A54339" w:rsidRPr="00531E7D">
        <w:lastRenderedPageBreak/>
        <w:t>yra</w:t>
      </w:r>
      <w:r w:rsidR="00DD70CE" w:rsidRPr="00531E7D">
        <w:t xml:space="preserve"> ribojama</w:t>
      </w:r>
      <w:r w:rsidR="00A54339" w:rsidRPr="00531E7D">
        <w:t>s</w:t>
      </w:r>
      <w:r w:rsidR="00DD70CE" w:rsidRPr="00531E7D">
        <w:t xml:space="preserve"> geležinkelio stoties ribomis</w:t>
      </w:r>
      <w:r w:rsidRPr="00531E7D">
        <w:t xml:space="preserve">. Tarnyba nustatė, kad </w:t>
      </w:r>
      <w:r w:rsidR="00567F56">
        <w:t>Infra</w:t>
      </w:r>
      <w:r w:rsidR="00567F56" w:rsidRPr="00531E7D">
        <w:t xml:space="preserve"> </w:t>
      </w:r>
      <w:r w:rsidRPr="00531E7D">
        <w:t xml:space="preserve">į Sąrašą įtraukė ir </w:t>
      </w:r>
      <w:r w:rsidR="00215A2F" w:rsidRPr="00531E7D">
        <w:t xml:space="preserve">geležinkelio </w:t>
      </w:r>
      <w:r w:rsidRPr="00531E7D">
        <w:t>stoties keliams</w:t>
      </w:r>
      <w:r w:rsidR="004B3E94" w:rsidRPr="00531E7D">
        <w:t xml:space="preserve">, kuriuose būtų galima </w:t>
      </w:r>
      <w:r w:rsidR="00D74880" w:rsidRPr="00531E7D">
        <w:t xml:space="preserve">teikti </w:t>
      </w:r>
      <w:r w:rsidR="004B3E94" w:rsidRPr="00531E7D">
        <w:t>GPĮ paslaugas,</w:t>
      </w:r>
      <w:r w:rsidRPr="00531E7D">
        <w:t xml:space="preserve"> priskyrė tokius privažiuojamuosius geležinkelio kelius, kurių ilgis virš 12, 10 ar 5 km</w:t>
      </w:r>
      <w:r w:rsidR="00215A2F" w:rsidRPr="00531E7D">
        <w:t xml:space="preserve"> ir kurie</w:t>
      </w:r>
      <w:r w:rsidR="002E589C" w:rsidRPr="00531E7D">
        <w:t xml:space="preserve"> Sąraše ir</w:t>
      </w:r>
      <w:r w:rsidR="00215A2F" w:rsidRPr="00531E7D">
        <w:t xml:space="preserve"> stoties knygo</w:t>
      </w:r>
      <w:r w:rsidR="002E589C" w:rsidRPr="00531E7D">
        <w:t>s</w:t>
      </w:r>
      <w:r w:rsidR="00215A2F" w:rsidRPr="00531E7D">
        <w:t xml:space="preserve">e yra įvardinti </w:t>
      </w:r>
      <w:r w:rsidR="00567F56">
        <w:t>Infrai</w:t>
      </w:r>
      <w:r w:rsidR="00567F56" w:rsidRPr="00531E7D">
        <w:t xml:space="preserve"> </w:t>
      </w:r>
      <w:r w:rsidR="00AC6399" w:rsidRPr="00531E7D">
        <w:t xml:space="preserve">priklausančiais </w:t>
      </w:r>
      <w:r w:rsidR="00215A2F" w:rsidRPr="00531E7D">
        <w:t>privažiuojama</w:t>
      </w:r>
      <w:r w:rsidR="002E589C" w:rsidRPr="00531E7D">
        <w:t>i</w:t>
      </w:r>
      <w:r w:rsidR="00215A2F" w:rsidRPr="00531E7D">
        <w:t>si</w:t>
      </w:r>
      <w:r w:rsidR="002E589C" w:rsidRPr="00531E7D">
        <w:t>ai</w:t>
      </w:r>
      <w:r w:rsidR="00215A2F" w:rsidRPr="00531E7D">
        <w:t>s keliais</w:t>
      </w:r>
      <w:r w:rsidR="00430555" w:rsidRPr="00531E7D">
        <w:t xml:space="preserve"> </w:t>
      </w:r>
      <w:r w:rsidR="00430555" w:rsidRPr="00DF3B81">
        <w:rPr>
          <w:b/>
          <w:bCs/>
        </w:rPr>
        <w:t>ir nurodoma</w:t>
      </w:r>
      <w:r w:rsidR="000E4066" w:rsidRPr="00DF3B81">
        <w:rPr>
          <w:b/>
          <w:bCs/>
        </w:rPr>
        <w:t xml:space="preserve"> privažiuojamojo kelio prijungimo prie stoties vieta</w:t>
      </w:r>
      <w:r w:rsidRPr="00531E7D">
        <w:t>. Tarnybos vertinimu, tokių vien</w:t>
      </w:r>
      <w:r w:rsidR="00D175B3" w:rsidRPr="00531E7D">
        <w:t>k</w:t>
      </w:r>
      <w:r w:rsidRPr="00531E7D">
        <w:t>elių privažiuojamųjų geležinkelio kelių</w:t>
      </w:r>
      <w:r w:rsidR="008B37E8">
        <w:t>,</w:t>
      </w:r>
      <w:r w:rsidRPr="00531E7D">
        <w:t xml:space="preserve"> </w:t>
      </w:r>
      <w:r w:rsidR="008B37E8" w:rsidRPr="008B37E8">
        <w:t>esančių už geležinkelio stoties žemės sklypo ribų</w:t>
      </w:r>
      <w:r w:rsidR="008B37E8">
        <w:t>,</w:t>
      </w:r>
      <w:r w:rsidR="008B37E8" w:rsidRPr="008B37E8">
        <w:t xml:space="preserve"> </w:t>
      </w:r>
      <w:r w:rsidRPr="00531E7D">
        <w:t xml:space="preserve">priskyrimas </w:t>
      </w:r>
      <w:r w:rsidR="00DF6710" w:rsidRPr="00531E7D">
        <w:t xml:space="preserve">geležinkelio </w:t>
      </w:r>
      <w:r w:rsidRPr="00531E7D">
        <w:t xml:space="preserve">stoties keliams, kuriuose jokios paslaugos neteikiamos, kaip tik atvažiuojama iki vietos, kuriose bus teikiamos su geležinkelių transportu susijusios paslaugos, niekaip neleidžia </w:t>
      </w:r>
      <w:r w:rsidR="00DF6710" w:rsidRPr="00531E7D">
        <w:t xml:space="preserve">geležinkelio </w:t>
      </w:r>
      <w:r w:rsidRPr="00531E7D">
        <w:t xml:space="preserve">stoties apibrėžti, kaip tam tikrame žemės sklype </w:t>
      </w:r>
      <w:r w:rsidR="00D175B3" w:rsidRPr="00531E7D">
        <w:t>esančio geležinkelio kelių, statinių ir įrenginių komplekso</w:t>
      </w:r>
      <w:r w:rsidR="00E91C34" w:rsidRPr="00531E7D">
        <w:t xml:space="preserve">, nes tai neatitinka TGNN </w:t>
      </w:r>
      <w:r w:rsidR="002E589C" w:rsidRPr="00531E7D">
        <w:t xml:space="preserve">16.2 papunktyje </w:t>
      </w:r>
      <w:r w:rsidR="00E91C34" w:rsidRPr="00531E7D">
        <w:t xml:space="preserve"> </w:t>
      </w:r>
      <w:r w:rsidR="00F20808" w:rsidRPr="00531E7D">
        <w:t>numatytų stočių ribų</w:t>
      </w:r>
      <w:r w:rsidRPr="00531E7D">
        <w:t xml:space="preserve"> ir prieštarauja Kodekso 3 straipsnio 8</w:t>
      </w:r>
      <w:r w:rsidRPr="00531E7D">
        <w:rPr>
          <w:vertAlign w:val="superscript"/>
        </w:rPr>
        <w:t>2</w:t>
      </w:r>
      <w:r w:rsidRPr="00531E7D">
        <w:t xml:space="preserve"> dalyje įtvirtintoms nuostatoms. </w:t>
      </w:r>
    </w:p>
    <w:p w14:paraId="3C60E988" w14:textId="4C71CC07" w:rsidR="0062731D" w:rsidRPr="006565EA" w:rsidRDefault="0062731D" w:rsidP="0062731D">
      <w:pPr>
        <w:pStyle w:val="NormalWeb"/>
        <w:numPr>
          <w:ilvl w:val="0"/>
          <w:numId w:val="15"/>
        </w:numPr>
        <w:tabs>
          <w:tab w:val="left" w:pos="1134"/>
        </w:tabs>
        <w:spacing w:before="0" w:beforeAutospacing="0" w:after="0" w:afterAutospacing="0"/>
        <w:ind w:left="0" w:firstLine="720"/>
        <w:contextualSpacing/>
        <w:jc w:val="both"/>
        <w:rPr>
          <w:bCs/>
        </w:rPr>
      </w:pPr>
      <w:r>
        <w:t>Tarnyba nustatė, kad visus Sąraše esančius kelius</w:t>
      </w:r>
      <w:r w:rsidR="007E641A">
        <w:t xml:space="preserve"> </w:t>
      </w:r>
      <w:r w:rsidR="00567F56">
        <w:t xml:space="preserve">Infra </w:t>
      </w:r>
      <w:r>
        <w:t>priskyrė geležinkelio stoties keliams, vadovaudamasis TGNN 2.19 papunkčiu</w:t>
      </w:r>
      <w:r w:rsidR="002C0FA2">
        <w:t>.</w:t>
      </w:r>
      <w:r>
        <w:t xml:space="preserve"> Tarnyba</w:t>
      </w:r>
      <w:r w:rsidR="007E641A">
        <w:t xml:space="preserve">, įvertinusi </w:t>
      </w:r>
      <w:r w:rsidR="00567F56">
        <w:t xml:space="preserve">Infros </w:t>
      </w:r>
      <w:r w:rsidR="007E641A">
        <w:t>pateiktas geležinkelio stočių schemas, Sąraše esančių kelių informaciją ir geležinkelio stočių knygose esančią informacija</w:t>
      </w:r>
      <w:r w:rsidR="00D74880">
        <w:t>, n</w:t>
      </w:r>
      <w:r w:rsidR="007E641A">
        <w:t xml:space="preserve">ustatė, kad iš </w:t>
      </w:r>
      <w:r>
        <w:t xml:space="preserve"> Sąraše esanči</w:t>
      </w:r>
      <w:r w:rsidR="007E641A">
        <w:t>ų</w:t>
      </w:r>
      <w:r>
        <w:t xml:space="preserve"> 547 geležinkelio keli</w:t>
      </w:r>
      <w:r w:rsidR="007E641A">
        <w:t>ų</w:t>
      </w:r>
      <w:r>
        <w:t xml:space="preserve"> </w:t>
      </w:r>
      <w:r w:rsidR="00B86B03">
        <w:t>be</w:t>
      </w:r>
      <w:r w:rsidR="007E641A">
        <w:t>veik</w:t>
      </w:r>
      <w:r w:rsidR="00B86B03">
        <w:t xml:space="preserve"> pus</w:t>
      </w:r>
      <w:r w:rsidR="007E641A">
        <w:t>ė</w:t>
      </w:r>
      <w:r>
        <w:t xml:space="preserve"> yra už geležinkelio stoties ribų</w:t>
      </w:r>
      <w:r w:rsidR="008B37E8">
        <w:t xml:space="preserve"> (atskirti šviesoforais ir (ar) su nurodyta prijungimo prie stoties viet</w:t>
      </w:r>
      <w:r w:rsidR="00E46C97">
        <w:t>a</w:t>
      </w:r>
      <w:r w:rsidR="008B37E8">
        <w:t>)</w:t>
      </w:r>
      <w:r w:rsidR="007E641A">
        <w:t>, todėl</w:t>
      </w:r>
      <w:r>
        <w:t xml:space="preserve"> jie laikytini privažiuojamaisiais geležinkelio keliais, o ne geležinkelio stoties keliais. Pavyzdžiui, prie Rimkų geležinkelio stoties prijungtą geležinkelio kelią Nr. 1</w:t>
      </w:r>
      <w:r>
        <w:rPr>
          <w:vertAlign w:val="superscript"/>
        </w:rPr>
        <w:t>'</w:t>
      </w:r>
      <w:r>
        <w:t xml:space="preserve"> </w:t>
      </w:r>
      <w:r w:rsidR="00567F56">
        <w:t xml:space="preserve">Infra </w:t>
      </w:r>
      <w:r>
        <w:t xml:space="preserve">priskyrė Rimkų geležinkelio stoties keliui ir nurodė, kad naudojantis juo yra teikiama Pirma paslauga. Pagal Sąraše esančią informaciją nustatyta, kad šio geležinkelio kelio ilgis yra 10451 m. Rimkų geležinkelio stoties knygoje atskirai išskirti ir išvardinti geležinkelio stoties privažiuojamieji keliai, kelynai bei geležinkelio keliai ir </w:t>
      </w:r>
      <w:r w:rsidR="00567F56">
        <w:t xml:space="preserve">Infrai </w:t>
      </w:r>
      <w:r>
        <w:t>priklausantys privažiuojamieji keliai, pastarųjų sąraše yra ir geležinkelio kelias Nr. 1', t. y. šis geležinkelio kelias</w:t>
      </w:r>
      <w:r w:rsidR="00EB1217">
        <w:t xml:space="preserve"> net stoties knygoje</w:t>
      </w:r>
      <w:r>
        <w:t xml:space="preserve"> </w:t>
      </w:r>
      <w:r w:rsidR="00EB1217">
        <w:t>ne</w:t>
      </w:r>
      <w:r>
        <w:t>priskirtas ne</w:t>
      </w:r>
      <w:r w:rsidR="00EB1217">
        <w:t>i</w:t>
      </w:r>
      <w:r>
        <w:t xml:space="preserve"> geležinkelio stoties keliui ir ne</w:t>
      </w:r>
      <w:r w:rsidR="00567F56">
        <w:t>i</w:t>
      </w:r>
      <w:r>
        <w:t xml:space="preserve"> geležinkelio stoties privažiuojamajam keliui, o įvardijamas kaip atskiras privažiuojamasis kelias. Taip pat Rimkų geležinkelio stoties knygoje nurodyta, kad šis kelias prie geležinkelio stoties </w:t>
      </w:r>
      <w:r w:rsidR="00430555">
        <w:t xml:space="preserve">prijungiamas prie </w:t>
      </w:r>
      <w:r>
        <w:t>jungiamojo kelio Nr. 3' iešmu Nr. 43. Taigi, iš Rimkų geležinkelio stoties knygos esančios informacijos buvo nustatyta, kad Rimkų geležinkelio kelias Nr. 1' atitinka Kodekso 3 straipsnio 38 dalyje nurodytą privažiuojamojo kelio sąvoką, nes yra prijungtas prie Rimkų geležinkelio stoties ir yra skirtas važiavimui iki šios geležinkelio stoties, norint gauti joje teikiamas paslaugas.</w:t>
      </w:r>
    </w:p>
    <w:p w14:paraId="34E41000" w14:textId="43CA0D02" w:rsidR="000058F7" w:rsidRPr="00B76D44" w:rsidRDefault="000058F7" w:rsidP="000058F7">
      <w:pPr>
        <w:pStyle w:val="NormalWeb"/>
        <w:numPr>
          <w:ilvl w:val="0"/>
          <w:numId w:val="15"/>
        </w:numPr>
        <w:tabs>
          <w:tab w:val="left" w:pos="1134"/>
        </w:tabs>
        <w:spacing w:before="0" w:beforeAutospacing="0" w:after="0" w:afterAutospacing="0"/>
        <w:ind w:left="0" w:firstLine="720"/>
        <w:contextualSpacing/>
        <w:jc w:val="both"/>
        <w:rPr>
          <w:bCs/>
        </w:rPr>
      </w:pPr>
      <w:r>
        <w:t xml:space="preserve">Tarnyba </w:t>
      </w:r>
      <w:r w:rsidR="007E641A">
        <w:t>taip pat</w:t>
      </w:r>
      <w:r>
        <w:t xml:space="preserve"> nustatė, kad </w:t>
      </w:r>
      <w:r w:rsidR="00567F56">
        <w:t xml:space="preserve">Infra </w:t>
      </w:r>
      <w:r>
        <w:t xml:space="preserve">privažiuojamuosius kelius priskyrė geležinkelio stoties keliams motyvuodamas ir tuo, kad šiuose geležinkelio keliuose jis teikia GPĮ paslaugas. Pažymėtina, kad nei Kodeksas, nei kiti teisės aktai nenumato, kad </w:t>
      </w:r>
      <w:r w:rsidR="00791BD2">
        <w:t xml:space="preserve">vagonų varymas </w:t>
      </w:r>
      <w:r>
        <w:t xml:space="preserve">privažiuojamaisiais keliais </w:t>
      </w:r>
      <w:r w:rsidR="00791BD2">
        <w:t>yra</w:t>
      </w:r>
      <w:r>
        <w:t xml:space="preserve"> GPĮ teikiama paslauga. Pažymėtina, kad </w:t>
      </w:r>
      <w:r w:rsidR="0093707D">
        <w:t>p</w:t>
      </w:r>
      <w:r>
        <w:t xml:space="preserve">ats </w:t>
      </w:r>
      <w:r w:rsidR="00567F56">
        <w:t xml:space="preserve">Infra </w:t>
      </w:r>
      <w:r>
        <w:t xml:space="preserve">Rašte Nr. SD(LGI)-3358 yra paaiškinęs, kad </w:t>
      </w:r>
      <w:r w:rsidRPr="004E6FAE">
        <w:t>„</w:t>
      </w:r>
      <w:r w:rsidRPr="00BF0AF4">
        <w:rPr>
          <w:i/>
          <w:iCs/>
        </w:rPr>
        <w:t>manevravimas yra apibūdinamas, kaip geležinkelio riedmenų judėjimas formuojant sąstatus, tuo tarpu</w:t>
      </w:r>
      <w:r>
        <w:rPr>
          <w:sz w:val="22"/>
          <w:szCs w:val="22"/>
        </w:rPr>
        <w:t xml:space="preserve"> </w:t>
      </w:r>
      <w:r w:rsidRPr="00BF0AF4">
        <w:rPr>
          <w:i/>
          <w:iCs/>
        </w:rPr>
        <w:t>Pirmojoje paslaugoje įvardintas vagonų varymas neapima riedmenų formavimo, o apibrėžia tik riedmenų judėjimą nuo vieno taško iki kito, kur galutinis judėjimo taškas yra Valdytojo ar Paslaugų gavėjo privažiuojamojo kelio riba</w:t>
      </w:r>
      <w:r w:rsidRPr="000A6102">
        <w:t>“</w:t>
      </w:r>
      <w:r>
        <w:t xml:space="preserve">, taip neginčydamas, kad </w:t>
      </w:r>
      <w:r w:rsidR="007E641A">
        <w:t xml:space="preserve">jokios </w:t>
      </w:r>
      <w:r>
        <w:t>kitos paslaugos, kaip tik važiavimas</w:t>
      </w:r>
      <w:r w:rsidR="00BA3BE4">
        <w:t xml:space="preserve"> geležinkelio</w:t>
      </w:r>
      <w:r>
        <w:t xml:space="preserve"> keliu, teikiant Pirmą paslaugą nėra suteikiamos, t. y. šiuose geležinkelio keliuose neatliekami kaupimo, manevravimo ir formavimo veiksmai. Papildomai pažymėtina, kad ir Rimkų geležinkelio stoties knygoje nurodyta, kad manevravimas geležinkelio kelyje Nr. 1' galimas tik nuo šviesoforo M23 iki geležinkelio stoties ašies, t. y. iki geležinkelio stoties ribą nurodančio šviesoforo, todėl už šviesoforo M23 geležinkelio kelyje Nr. 1' nebegalima atlikti manevravimo veiksmų, o galima vykdyti tik vagonų varymą nuo vieno taško iki kito.</w:t>
      </w:r>
    </w:p>
    <w:p w14:paraId="130820E3" w14:textId="6167FA7F" w:rsidR="000058F7" w:rsidRDefault="000058F7" w:rsidP="000058F7">
      <w:pPr>
        <w:pStyle w:val="NormalWeb"/>
        <w:numPr>
          <w:ilvl w:val="0"/>
          <w:numId w:val="15"/>
        </w:numPr>
        <w:tabs>
          <w:tab w:val="left" w:pos="1134"/>
        </w:tabs>
        <w:spacing w:before="0" w:beforeAutospacing="0" w:after="0" w:afterAutospacing="0"/>
        <w:ind w:left="0" w:firstLine="720"/>
        <w:contextualSpacing/>
        <w:jc w:val="both"/>
        <w:rPr>
          <w:bCs/>
        </w:rPr>
      </w:pPr>
      <w:r>
        <w:t>Atsižvelgdama į tai</w:t>
      </w:r>
      <w:r w:rsidR="0093707D">
        <w:t>,</w:t>
      </w:r>
      <w:r>
        <w:t xml:space="preserve"> kas išdėstyta aukščiau, Tarnyba konstatuoja, kad </w:t>
      </w:r>
      <w:r w:rsidR="00364675">
        <w:t xml:space="preserve">Infra </w:t>
      </w:r>
      <w:r>
        <w:t>geležinkelio stoties keliams neteisėtai</w:t>
      </w:r>
      <w:r w:rsidR="00B20451">
        <w:t>, nesivadovaujant Kodekso 3 staipsnio 38 punkto reikalavimais,</w:t>
      </w:r>
      <w:r>
        <w:t xml:space="preserve"> priskyrė </w:t>
      </w:r>
      <w:r w:rsidR="00D44B33">
        <w:t>ja</w:t>
      </w:r>
      <w:r w:rsidR="00364675">
        <w:t>i</w:t>
      </w:r>
      <w:r w:rsidR="00D44B33">
        <w:t xml:space="preserve"> priklausančius privažiuojamuosius geležinkelio kelius</w:t>
      </w:r>
      <w:r>
        <w:t xml:space="preserve"> ir vagonų varymą jais neteisėtai priskyrė Pirmai paslaugai, kurią apmokestino pagal Kodekso 30</w:t>
      </w:r>
      <w:r>
        <w:rPr>
          <w:vertAlign w:val="superscript"/>
        </w:rPr>
        <w:t>4</w:t>
      </w:r>
      <w:r>
        <w:t xml:space="preserve"> straipsnio 2 dalį, </w:t>
      </w:r>
      <w:r w:rsidR="00364675">
        <w:t xml:space="preserve">taip pažeisdama </w:t>
      </w:r>
      <w:r>
        <w:t>s Kodekso 30</w:t>
      </w:r>
      <w:r>
        <w:rPr>
          <w:vertAlign w:val="superscript"/>
        </w:rPr>
        <w:t>4</w:t>
      </w:r>
      <w:r>
        <w:t xml:space="preserve"> straipsnio 3 dalyje numatyt</w:t>
      </w:r>
      <w:r w:rsidR="00364675">
        <w:t>us</w:t>
      </w:r>
      <w:r>
        <w:t xml:space="preserve"> reikalavim</w:t>
      </w:r>
      <w:r w:rsidR="00364675">
        <w:t>us</w:t>
      </w:r>
      <w:r>
        <w:t>.</w:t>
      </w:r>
      <w:r w:rsidRPr="004E6FAE">
        <w:rPr>
          <w:bCs/>
        </w:rPr>
        <w:t xml:space="preserve">   </w:t>
      </w:r>
    </w:p>
    <w:p w14:paraId="3FEBE1CF" w14:textId="53EC16E8" w:rsidR="000058F7" w:rsidRPr="007B7D13" w:rsidRDefault="0008533A" w:rsidP="000A6102">
      <w:pPr>
        <w:pStyle w:val="NormalWeb"/>
        <w:numPr>
          <w:ilvl w:val="0"/>
          <w:numId w:val="15"/>
        </w:numPr>
        <w:tabs>
          <w:tab w:val="left" w:pos="1134"/>
        </w:tabs>
        <w:spacing w:before="0" w:beforeAutospacing="0" w:after="0" w:afterAutospacing="0"/>
        <w:ind w:left="0" w:firstLine="720"/>
        <w:contextualSpacing/>
        <w:jc w:val="both"/>
        <w:rPr>
          <w:bCs/>
          <w:i/>
          <w:iCs/>
        </w:rPr>
      </w:pPr>
      <w:bookmarkStart w:id="1" w:name="_Hlk99032279"/>
      <w:r w:rsidRPr="00113130">
        <w:t xml:space="preserve">Tarnyba nustatė, kad </w:t>
      </w:r>
      <w:r w:rsidR="000058F7" w:rsidRPr="00113130">
        <w:t>Pirmos paslaugos užmokesčio tarif</w:t>
      </w:r>
      <w:r w:rsidRPr="00113130">
        <w:t>ą</w:t>
      </w:r>
      <w:r w:rsidR="000058F7" w:rsidRPr="00113130">
        <w:t>, vadovau</w:t>
      </w:r>
      <w:r w:rsidRPr="00113130">
        <w:t>damasis</w:t>
      </w:r>
      <w:r w:rsidR="000058F7" w:rsidRPr="00113130">
        <w:t xml:space="preserve"> GPĮ</w:t>
      </w:r>
      <w:r w:rsidR="000058F7">
        <w:t xml:space="preserve"> kainodaros metodikos 2.3.1 papunkčiu, </w:t>
      </w:r>
      <w:r w:rsidR="00190C48">
        <w:t xml:space="preserve">Infra </w:t>
      </w:r>
      <w:r w:rsidR="000058F7">
        <w:t>apskaiči</w:t>
      </w:r>
      <w:r>
        <w:t>avo</w:t>
      </w:r>
      <w:r w:rsidR="000058F7">
        <w:t xml:space="preserve"> prie paslaugos vieneto savikainos pridėj</w:t>
      </w:r>
      <w:r w:rsidR="00190C48">
        <w:t>usi</w:t>
      </w:r>
      <w:r w:rsidR="000058F7">
        <w:t xml:space="preserve"> pagrįstą pelną</w:t>
      </w:r>
      <w:r>
        <w:t>.</w:t>
      </w:r>
      <w:r w:rsidR="000058F7">
        <w:t xml:space="preserve"> </w:t>
      </w:r>
      <w:r>
        <w:t>P</w:t>
      </w:r>
      <w:r w:rsidR="000058F7">
        <w:t xml:space="preserve">agal </w:t>
      </w:r>
      <w:r w:rsidR="00190C48">
        <w:t xml:space="preserve">Infros </w:t>
      </w:r>
      <w:r w:rsidR="000058F7">
        <w:t xml:space="preserve">Raštu Nr. SD-PAJ(LGI)-27 pateiktus paaiškinimus ir šio rašto 1 priede pateiktus skaičiavimus, GPĮ paslaugų vieneto savikaina, </w:t>
      </w:r>
      <w:r w:rsidR="0093707D">
        <w:t>įskaitant</w:t>
      </w:r>
      <w:r w:rsidR="000058F7">
        <w:t xml:space="preserve"> ir Pirmos paslaugos vieneto savikaina, buvo apskaičiuota iš paslaugai priskirtos bendros savikainos padalinus suteiktų paslaugų </w:t>
      </w:r>
      <w:r w:rsidR="000058F7">
        <w:lastRenderedPageBreak/>
        <w:t>kiekį</w:t>
      </w:r>
      <w:r w:rsidR="00A24300">
        <w:t>, o</w:t>
      </w:r>
      <w:r w:rsidR="00601066">
        <w:t xml:space="preserve"> </w:t>
      </w:r>
      <w:r w:rsidR="00A24300">
        <w:t>b</w:t>
      </w:r>
      <w:r w:rsidR="00601066">
        <w:t>endroji paslaugos savikaina</w:t>
      </w:r>
      <w:r w:rsidR="007B7D13">
        <w:t xml:space="preserve"> </w:t>
      </w:r>
      <w:r w:rsidR="00A24300">
        <w:t xml:space="preserve">buvo </w:t>
      </w:r>
      <w:r w:rsidR="007B7D13">
        <w:t>nusta</w:t>
      </w:r>
      <w:r w:rsidR="00A24300">
        <w:t>tyta</w:t>
      </w:r>
      <w:r w:rsidR="007B7D13">
        <w:t xml:space="preserve"> visas išlaidas paskirstant proporcingai suteiktos paslaugos kiekiui.</w:t>
      </w:r>
      <w:r w:rsidR="000058F7">
        <w:t xml:space="preserve"> </w:t>
      </w:r>
      <w:r w:rsidR="00611C57">
        <w:t>Konstatuotina, kad nepagrįstai buvo apskaitytas suteiktos Pirmos paslaugos kiekis, nepagrįstai priskiriant važiavimus privažiuojamaisiais geležinkelio keliais Pirmai paslaugai dėl ko buvo neteisingai apskaičiuota bendroji paslaugos savikaina ir Pirmos paslaugos vieneto savikaina, o tai lėmė, kad Pirmos paslaugos tarifas taip pat buvo apskaičiuotas netinkamai ir nepagrįstai nustatytas.</w:t>
      </w:r>
      <w:bookmarkEnd w:id="1"/>
    </w:p>
    <w:p w14:paraId="7C39A2D4" w14:textId="77777777" w:rsidR="00113130" w:rsidRDefault="00113130" w:rsidP="000058F7">
      <w:pPr>
        <w:pStyle w:val="ListParagraph"/>
        <w:ind w:left="0" w:firstLine="720"/>
        <w:jc w:val="both"/>
        <w:rPr>
          <w:bCs/>
          <w:i/>
          <w:iCs/>
        </w:rPr>
      </w:pPr>
    </w:p>
    <w:p w14:paraId="778D3D76" w14:textId="304FB0AD" w:rsidR="000058F7" w:rsidRPr="00876F78" w:rsidRDefault="000058F7" w:rsidP="000058F7">
      <w:pPr>
        <w:pStyle w:val="ListParagraph"/>
        <w:ind w:left="0" w:firstLine="720"/>
        <w:jc w:val="both"/>
        <w:rPr>
          <w:b/>
          <w:bCs/>
          <w:i/>
          <w:iCs/>
        </w:rPr>
      </w:pPr>
      <w:r w:rsidRPr="00D753A1">
        <w:rPr>
          <w:bCs/>
          <w:i/>
          <w:iCs/>
        </w:rPr>
        <w:t>Dėl Antros paslaugos</w:t>
      </w:r>
    </w:p>
    <w:p w14:paraId="007BD42D" w14:textId="77777777" w:rsidR="000058F7" w:rsidRPr="002761A8" w:rsidRDefault="000058F7" w:rsidP="000058F7">
      <w:pPr>
        <w:pStyle w:val="NormalWeb"/>
        <w:spacing w:before="0" w:beforeAutospacing="0" w:after="0" w:afterAutospacing="0"/>
        <w:contextualSpacing/>
        <w:jc w:val="both"/>
        <w:rPr>
          <w:bCs/>
        </w:rPr>
      </w:pPr>
    </w:p>
    <w:p w14:paraId="29878303" w14:textId="6FCD2E5F" w:rsidR="000058F7" w:rsidRPr="004C3F2F" w:rsidRDefault="000058F7" w:rsidP="000058F7">
      <w:pPr>
        <w:pStyle w:val="NormalWeb"/>
        <w:numPr>
          <w:ilvl w:val="0"/>
          <w:numId w:val="15"/>
        </w:numPr>
        <w:tabs>
          <w:tab w:val="left" w:pos="1134"/>
        </w:tabs>
        <w:spacing w:before="0" w:beforeAutospacing="0" w:after="0" w:afterAutospacing="0"/>
        <w:ind w:left="0" w:firstLine="720"/>
        <w:contextualSpacing/>
        <w:jc w:val="both"/>
        <w:rPr>
          <w:bCs/>
        </w:rPr>
      </w:pPr>
      <w:r>
        <w:rPr>
          <w:bCs/>
        </w:rPr>
        <w:t xml:space="preserve">Pagal Kodekso 3 straipsnio </w:t>
      </w:r>
      <w:r w:rsidRPr="0064574D">
        <w:rPr>
          <w:bCs/>
        </w:rPr>
        <w:t>30 dalies nuostatas, manevravimas yra „</w:t>
      </w:r>
      <w:r w:rsidRPr="00605A69">
        <w:rPr>
          <w:b/>
          <w:i/>
          <w:iCs/>
        </w:rPr>
        <w:t>geležinkelių riedmenų judėjimas formuojant sąstatus</w:t>
      </w:r>
      <w:r w:rsidRPr="00F858AA">
        <w:rPr>
          <w:bCs/>
          <w:i/>
          <w:iCs/>
        </w:rPr>
        <w:t xml:space="preserve"> geležinkelio stoties keliuose </w:t>
      </w:r>
      <w:r w:rsidRPr="00EB2D43">
        <w:rPr>
          <w:i/>
          <w:iCs/>
        </w:rPr>
        <w:t>ir privažiuojamuosiuose geležinkelio keliuose</w:t>
      </w:r>
      <w:r w:rsidRPr="003344CA">
        <w:rPr>
          <w:i/>
          <w:iCs/>
        </w:rPr>
        <w:t>, stumiant geležinkelių riedmenis į krovos, tikrinimo, parangos, remonto, stovėjimo vietas ir iš jų į geležinkelio stoties geležinkelio kelius, taip pat traukiant geležinkelių riedmenis į šias vietas ir iš jų</w:t>
      </w:r>
      <w:r>
        <w:t xml:space="preserve">“. </w:t>
      </w:r>
      <w:r w:rsidR="009E7035">
        <w:t>V</w:t>
      </w:r>
      <w:r>
        <w:t>adovaujantis Kodekso 30</w:t>
      </w:r>
      <w:r w:rsidRPr="003C7ACA">
        <w:rPr>
          <w:vertAlign w:val="superscript"/>
        </w:rPr>
        <w:t>1</w:t>
      </w:r>
      <w:r>
        <w:t xml:space="preserve"> straipsnio 3 punktu, KKTFMĮ</w:t>
      </w:r>
      <w:r w:rsidR="003F7C7A">
        <w:t xml:space="preserve"> yra </w:t>
      </w:r>
      <w:r w:rsidR="003F7C7A" w:rsidRPr="004C3F2F">
        <w:t>GPĮ</w:t>
      </w:r>
      <w:r w:rsidR="004C3F2F" w:rsidRPr="004C3F2F">
        <w:t xml:space="preserve"> ir juose teikiama</w:t>
      </w:r>
      <w:r w:rsidRPr="004C3F2F">
        <w:t xml:space="preserve"> Antra paslauga. </w:t>
      </w:r>
    </w:p>
    <w:p w14:paraId="4EB9DA90" w14:textId="66BF7BDB" w:rsidR="000058F7" w:rsidRDefault="000058F7" w:rsidP="000058F7">
      <w:pPr>
        <w:pStyle w:val="NormalWeb"/>
        <w:numPr>
          <w:ilvl w:val="0"/>
          <w:numId w:val="15"/>
        </w:numPr>
        <w:tabs>
          <w:tab w:val="left" w:pos="1134"/>
        </w:tabs>
        <w:spacing w:before="0" w:beforeAutospacing="0" w:after="0" w:afterAutospacing="0"/>
        <w:ind w:left="0" w:firstLine="720"/>
        <w:contextualSpacing/>
        <w:jc w:val="both"/>
        <w:rPr>
          <w:bCs/>
        </w:rPr>
      </w:pPr>
      <w:r>
        <w:t xml:space="preserve">Tyrimo metu Tarnyba nustatė, kad manevravimas geležinkelio stoties keliuose, kuriuose teikiama Antra paslauga, atvykus iš tarpstočio ir išvykstant į tarpstotį, kuomet vagonai nėra varomi į privažiuojamuosius kelius, </w:t>
      </w:r>
      <w:r w:rsidRPr="000A6102">
        <w:rPr>
          <w:b/>
          <w:bCs/>
        </w:rPr>
        <w:t>nėra fiksuojamas, apskaitomas ir apmokestinamas,</w:t>
      </w:r>
      <w:r>
        <w:t xml:space="preserve"> nes šį manevravimą </w:t>
      </w:r>
      <w:r w:rsidR="00783144">
        <w:t xml:space="preserve">Infra </w:t>
      </w:r>
      <w:r>
        <w:t xml:space="preserve">priskiria kaip MPP paslaugos dalį ir papildomai neapmokestina. </w:t>
      </w:r>
      <w:r w:rsidR="00762EE2">
        <w:t xml:space="preserve">T. y. vežėjas, </w:t>
      </w:r>
      <w:r w:rsidR="009E7035">
        <w:t xml:space="preserve">atvažiavęs </w:t>
      </w:r>
      <w:r w:rsidR="00762EE2">
        <w:t xml:space="preserve">iš tarpstočio, </w:t>
      </w:r>
      <w:r w:rsidR="009E7035">
        <w:t xml:space="preserve">neišvažiuodamas </w:t>
      </w:r>
      <w:r w:rsidR="00762EE2">
        <w:t xml:space="preserve">į privažiuojamuosius kelius, atlikdamas analogiškus veiksmus, kaip pareiškėjai, kurie </w:t>
      </w:r>
      <w:r w:rsidR="009E7035">
        <w:t xml:space="preserve">važiuoja </w:t>
      </w:r>
      <w:r w:rsidR="00762EE2">
        <w:t>į privažiuojamuosius kelius ar at</w:t>
      </w:r>
      <w:r w:rsidR="009E7035">
        <w:t>važiuoja</w:t>
      </w:r>
      <w:r w:rsidR="00762EE2">
        <w:t xml:space="preserve"> iš jų, nėra apmokestinamas ir šie jo veiksmai (manevravimas, formavimas) nėra fiksuojami.</w:t>
      </w:r>
    </w:p>
    <w:p w14:paraId="3B41872C" w14:textId="48418769" w:rsidR="00CD3CA4" w:rsidRPr="006C1F4F" w:rsidRDefault="00CD3CA4" w:rsidP="00CD3CA4">
      <w:pPr>
        <w:pStyle w:val="NormalWeb"/>
        <w:numPr>
          <w:ilvl w:val="0"/>
          <w:numId w:val="15"/>
        </w:numPr>
        <w:tabs>
          <w:tab w:val="left" w:pos="1134"/>
        </w:tabs>
        <w:spacing w:before="0" w:beforeAutospacing="0" w:after="0" w:afterAutospacing="0"/>
        <w:ind w:left="0" w:firstLine="720"/>
        <w:contextualSpacing/>
        <w:jc w:val="both"/>
        <w:rPr>
          <w:bCs/>
        </w:rPr>
      </w:pPr>
      <w:r>
        <w:rPr>
          <w:bCs/>
        </w:rPr>
        <w:t xml:space="preserve">Vadovaujantis </w:t>
      </w:r>
      <w:r w:rsidRPr="00FD0E5C">
        <w:rPr>
          <w:bCs/>
        </w:rPr>
        <w:t>Kodekso 3 straipsnio 31 dal</w:t>
      </w:r>
      <w:r>
        <w:rPr>
          <w:bCs/>
        </w:rPr>
        <w:t>imi,</w:t>
      </w:r>
      <w:r w:rsidRPr="00FD0E5C">
        <w:rPr>
          <w:bCs/>
        </w:rPr>
        <w:t xml:space="preserve"> </w:t>
      </w:r>
      <w:r w:rsidRPr="00FD0E5C">
        <w:t xml:space="preserve">MPP </w:t>
      </w:r>
      <w:r>
        <w:t xml:space="preserve">yra </w:t>
      </w:r>
      <w:r w:rsidRPr="00FD0E5C">
        <w:t>„</w:t>
      </w:r>
      <w:r w:rsidRPr="00FD0E5C">
        <w:rPr>
          <w:i/>
          <w:iCs/>
        </w:rPr>
        <w:t xml:space="preserve">paslaugos, kurias sudaro prašymų skirti </w:t>
      </w:r>
      <w:r>
        <w:rPr>
          <w:i/>
          <w:iCs/>
        </w:rPr>
        <w:t>&lt;...&gt;</w:t>
      </w:r>
      <w:r w:rsidRPr="00587D62">
        <w:rPr>
          <w:i/>
          <w:iCs/>
        </w:rPr>
        <w:t xml:space="preserve"> </w:t>
      </w:r>
      <w:r>
        <w:rPr>
          <w:i/>
          <w:iCs/>
        </w:rPr>
        <w:t xml:space="preserve">infrastruktūros </w:t>
      </w:r>
      <w:r w:rsidRPr="00587D62">
        <w:rPr>
          <w:i/>
          <w:iCs/>
        </w:rPr>
        <w:t>pajėgumus tvarkymas</w:t>
      </w:r>
      <w:r w:rsidRPr="00FD0E5C">
        <w:rPr>
          <w:i/>
          <w:iCs/>
        </w:rPr>
        <w:t xml:space="preserve">; teisės naudotis </w:t>
      </w:r>
      <w:r>
        <w:rPr>
          <w:i/>
          <w:iCs/>
        </w:rPr>
        <w:t>&lt;...&gt;</w:t>
      </w:r>
      <w:r w:rsidRPr="00FD0E5C">
        <w:rPr>
          <w:i/>
          <w:iCs/>
        </w:rPr>
        <w:t xml:space="preserve"> infrastruktūra pagal paskirtus </w:t>
      </w:r>
      <w:r>
        <w:rPr>
          <w:i/>
          <w:iCs/>
        </w:rPr>
        <w:t>&lt;...&gt;</w:t>
      </w:r>
      <w:r w:rsidRPr="00FD0E5C">
        <w:rPr>
          <w:i/>
          <w:iCs/>
        </w:rPr>
        <w:t xml:space="preserve"> </w:t>
      </w:r>
      <w:r>
        <w:rPr>
          <w:i/>
          <w:iCs/>
        </w:rPr>
        <w:t xml:space="preserve">infrastruktūros </w:t>
      </w:r>
      <w:r w:rsidRPr="00FD0E5C">
        <w:rPr>
          <w:i/>
          <w:iCs/>
        </w:rPr>
        <w:t>pajėgumus, taip pat iešmais, elektros energijos tiekimo įrenginiais traukos srovei užtikrinti tuo atveju, kai yra tokie įrenginiai, suteikimas; traukinių eismo valdymas</w:t>
      </w:r>
      <w:r>
        <w:rPr>
          <w:i/>
          <w:iCs/>
        </w:rPr>
        <w:t xml:space="preserve"> &lt;...&gt;</w:t>
      </w:r>
      <w:r w:rsidRPr="00FD0E5C">
        <w:rPr>
          <w:i/>
          <w:iCs/>
        </w:rPr>
        <w:t xml:space="preserve">; informacijos apie traukinių judėjimą, taip pat visos kitos informacijos, reikalingos norint pradėti teikti paslaugą arba paslaugai, kuriai buvo skirti </w:t>
      </w:r>
      <w:r>
        <w:rPr>
          <w:i/>
          <w:iCs/>
        </w:rPr>
        <w:t>&lt;...&gt;</w:t>
      </w:r>
      <w:r w:rsidRPr="00FD0E5C">
        <w:rPr>
          <w:i/>
          <w:iCs/>
        </w:rPr>
        <w:t xml:space="preserve"> infrastruktūros pajėgumai, teikti, perdavimas ir teikimas“</w:t>
      </w:r>
      <w:r>
        <w:rPr>
          <w:i/>
          <w:iCs/>
        </w:rPr>
        <w:t xml:space="preserve">. </w:t>
      </w:r>
      <w:r w:rsidRPr="00B50027">
        <w:t>Atitinkamai pagal</w:t>
      </w:r>
      <w:r>
        <w:rPr>
          <w:i/>
          <w:iCs/>
        </w:rPr>
        <w:t xml:space="preserve"> </w:t>
      </w:r>
      <w:r>
        <w:t>Kodekso 3</w:t>
      </w:r>
      <w:r w:rsidRPr="00FD0E5C">
        <w:t xml:space="preserve"> straipsnio 47 dal</w:t>
      </w:r>
      <w:r w:rsidR="001A3220">
        <w:t>į</w:t>
      </w:r>
      <w:r>
        <w:rPr>
          <w:rStyle w:val="FootnoteReference"/>
        </w:rPr>
        <w:footnoteReference w:id="14"/>
      </w:r>
      <w:r w:rsidRPr="00FD0E5C">
        <w:t xml:space="preserve"> </w:t>
      </w:r>
      <w:r w:rsidRPr="00B50027">
        <w:t>infrastruktūra</w:t>
      </w:r>
      <w:r w:rsidRPr="00654489">
        <w:t xml:space="preserve"> </w:t>
      </w:r>
      <w:r w:rsidRPr="000A6102">
        <w:rPr>
          <w:rStyle w:val="CommentReference"/>
          <w:bCs/>
          <w:sz w:val="24"/>
          <w:szCs w:val="24"/>
        </w:rPr>
        <w:t xml:space="preserve">yra </w:t>
      </w:r>
      <w:r>
        <w:rPr>
          <w:rStyle w:val="CommentReference"/>
          <w:bCs/>
        </w:rPr>
        <w:t>„</w:t>
      </w:r>
      <w:r w:rsidRPr="00FD0E5C">
        <w:rPr>
          <w:i/>
          <w:iCs/>
        </w:rPr>
        <w:t>geležinkelių infrastruktūra</w:t>
      </w:r>
      <w:r>
        <w:rPr>
          <w:i/>
          <w:iCs/>
        </w:rPr>
        <w:t>, skirta</w:t>
      </w:r>
      <w:r w:rsidRPr="00FD0E5C">
        <w:rPr>
          <w:i/>
          <w:iCs/>
        </w:rPr>
        <w:t xml:space="preserve"> viešiesiems ir ūkio subjektų poreikiams tenkinti – keleiviams, bagažui ir (ar) kroviniams vežti</w:t>
      </w:r>
      <w:r>
        <w:rPr>
          <w:i/>
          <w:iCs/>
        </w:rPr>
        <w:t>, manevruoti</w:t>
      </w:r>
      <w:r w:rsidRPr="00FD0E5C">
        <w:rPr>
          <w:i/>
          <w:iCs/>
        </w:rPr>
        <w:t xml:space="preserve"> ir (ar) važiuoti į geležinkelių infrastruktūros objektų statybos, remonto ir (ar) techninės priežiūros darbų atlikimo vietą ir iš jos</w:t>
      </w:r>
      <w:r w:rsidRPr="00FD0E5C">
        <w:t xml:space="preserve">“. </w:t>
      </w:r>
      <w:r w:rsidRPr="00BC1BCF">
        <w:t xml:space="preserve">Tarnyba, įvertinusi aukščiau nurodytas Kodekso 3 straipsnio 31 ir 47 dalių nuostatas ir </w:t>
      </w:r>
      <w:r w:rsidR="0054116A">
        <w:t>Infros</w:t>
      </w:r>
      <w:r w:rsidR="0054116A" w:rsidRPr="00BC1BCF">
        <w:t xml:space="preserve"> </w:t>
      </w:r>
      <w:r w:rsidRPr="00BC1BCF">
        <w:t xml:space="preserve">argumentus, kad infrastruktūra skirta ir manevruoti, todėl, </w:t>
      </w:r>
      <w:r w:rsidR="0054116A">
        <w:t>Infros</w:t>
      </w:r>
      <w:r w:rsidR="0054116A" w:rsidRPr="00BC1BCF">
        <w:t xml:space="preserve"> </w:t>
      </w:r>
      <w:r w:rsidRPr="00BC1BCF">
        <w:t xml:space="preserve">nuomone, manevravimas yra atliekamas tiek infrastruktūroje, tiek GPĮ ir tuo atveju, kai manevravimas atliekamas infrastruktūroje, šie manevravimo veiksmai yra priskiriami MPP paslaugoms, konstatuoja, kad šie </w:t>
      </w:r>
      <w:r w:rsidR="0054116A">
        <w:t>Infros</w:t>
      </w:r>
      <w:r w:rsidR="0054116A" w:rsidRPr="00BC1BCF">
        <w:t xml:space="preserve"> </w:t>
      </w:r>
      <w:r w:rsidRPr="00BC1BCF">
        <w:t>argumentai yra prieštaraujantys Kodekso 4 straipsnio 1 punkte įtvirtintam nediskriminaciniam geležinkelių transporto veiklos principui, kadangi t</w:t>
      </w:r>
      <w:r>
        <w:t>okie</w:t>
      </w:r>
      <w:r w:rsidRPr="00BC1BCF">
        <w:t xml:space="preserve"> patys veiksmai toje pačioje vietoje (geležinkelio stotyje)</w:t>
      </w:r>
      <w:r w:rsidR="000B4E16">
        <w:t xml:space="preserve"> ir tame pačiame GPĮ, kaip paaiškina ir pati Infra „</w:t>
      </w:r>
      <w:r w:rsidR="000B4E16" w:rsidRPr="00B87AEA">
        <w:rPr>
          <w:i/>
          <w:iCs/>
        </w:rPr>
        <w:t>atlikti šiuos veiksmus</w:t>
      </w:r>
      <w:r w:rsidR="000B4E16" w:rsidRPr="00B87AEA">
        <w:t xml:space="preserve"> [m</w:t>
      </w:r>
      <w:r w:rsidR="000B4E16">
        <w:t>a</w:t>
      </w:r>
      <w:r w:rsidR="000B4E16" w:rsidRPr="00B87AEA">
        <w:t xml:space="preserve">nevravimo] </w:t>
      </w:r>
      <w:r w:rsidR="000B4E16" w:rsidRPr="00B87AEA">
        <w:rPr>
          <w:i/>
          <w:iCs/>
        </w:rPr>
        <w:t xml:space="preserve">galima tik viename GPĮ </w:t>
      </w:r>
      <w:r w:rsidR="000B4E16">
        <w:rPr>
          <w:i/>
          <w:iCs/>
        </w:rPr>
        <w:t>–</w:t>
      </w:r>
      <w:r w:rsidR="000B4E16" w:rsidRPr="00B87AEA">
        <w:rPr>
          <w:i/>
          <w:iCs/>
        </w:rPr>
        <w:t xml:space="preserve"> Kaupiamieji kelynai, traukinių formavimo ir manevravimo įrenginiai. Todėl formavimo veiksmai, kurie skirti MPP paslaugai (siekiant užbaigti / pradėti MPP paslaugos teikimą) ir formavimo veiksmai, kurie skirti GPĮ paslaugai, atliekami tame pačiame GPĮ įrenginyje</w:t>
      </w:r>
      <w:r w:rsidR="000B4E16" w:rsidRPr="00B87AEA">
        <w:t>“</w:t>
      </w:r>
      <w:r w:rsidR="000B4E16">
        <w:t>, Infros subjektyviai priskiriamų</w:t>
      </w:r>
      <w:r w:rsidRPr="00BC1BCF">
        <w:t xml:space="preserve"> skirting</w:t>
      </w:r>
      <w:r w:rsidR="000B4E16">
        <w:t>oms</w:t>
      </w:r>
      <w:r w:rsidRPr="00BC1BCF">
        <w:t xml:space="preserve"> paslaug</w:t>
      </w:r>
      <w:r w:rsidR="000B4E16">
        <w:t>oms</w:t>
      </w:r>
      <w:r w:rsidRPr="00BC1BCF">
        <w:t xml:space="preserve">. </w:t>
      </w:r>
    </w:p>
    <w:p w14:paraId="5BEB8956" w14:textId="0AD7BB7A" w:rsidR="00CD3CA4" w:rsidRPr="00BC1BCF" w:rsidRDefault="00CD3CA4" w:rsidP="00CD3CA4">
      <w:pPr>
        <w:pStyle w:val="NormalWeb"/>
        <w:numPr>
          <w:ilvl w:val="0"/>
          <w:numId w:val="15"/>
        </w:numPr>
        <w:tabs>
          <w:tab w:val="left" w:pos="1134"/>
        </w:tabs>
        <w:spacing w:before="0" w:beforeAutospacing="0" w:after="0" w:afterAutospacing="0"/>
        <w:ind w:left="0" w:firstLine="720"/>
        <w:contextualSpacing/>
        <w:jc w:val="both"/>
        <w:rPr>
          <w:bCs/>
        </w:rPr>
      </w:pPr>
      <w:r>
        <w:t>Nepaisant to, kad Tiriamuoju laikotarpiu aktualioje Kodekso 3 straipsnio 47 dalies redakcijoje buvo įtvirtinta, kad infrastruktūroje manevruoti galima, patys KKTFMĮ ir juose teikiamos paslaugos, vadovaujantis Kodekso 30</w:t>
      </w:r>
      <w:r>
        <w:rPr>
          <w:vertAlign w:val="superscript"/>
        </w:rPr>
        <w:t>1</w:t>
      </w:r>
      <w:r>
        <w:t xml:space="preserve"> straipsnio 3 punktu, </w:t>
      </w:r>
      <w:r w:rsidR="00E43A4F">
        <w:t>buvo priskirti</w:t>
      </w:r>
      <w:r>
        <w:t xml:space="preserve"> GPĮ teikiamoms paslaugoms ir šių paslaugų apmokestinimo reikalavimai nustatyti Kodekso 30</w:t>
      </w:r>
      <w:r>
        <w:rPr>
          <w:vertAlign w:val="superscript"/>
        </w:rPr>
        <w:t>4</w:t>
      </w:r>
      <w:r>
        <w:t xml:space="preserve"> straipsnio 2 </w:t>
      </w:r>
      <w:r w:rsidR="001A3220">
        <w:t>dalyje</w:t>
      </w:r>
      <w:r w:rsidR="00AC64D4">
        <w:t>,</w:t>
      </w:r>
      <w:r>
        <w:t xml:space="preserve"> </w:t>
      </w:r>
      <w:r w:rsidR="00AC64D4">
        <w:t>o</w:t>
      </w:r>
      <w:r w:rsidR="00E43A4F">
        <w:t xml:space="preserve"> ir Infra, vadovaujantis  KKTFMĮ aprašo 2.1.</w:t>
      </w:r>
      <w:r w:rsidR="00AC64D4">
        <w:t xml:space="preserve">2 papunkčiu naudojimąsi formavimo ir manevravimo įrenginiais priskyrė GPĮ teikiamai pagrindinei paslaugai. </w:t>
      </w:r>
      <w:r>
        <w:t>Pažymėtina, kad 202</w:t>
      </w:r>
      <w:r w:rsidR="006247D0">
        <w:t>2</w:t>
      </w:r>
      <w:r>
        <w:t xml:space="preserve"> m. </w:t>
      </w:r>
      <w:r w:rsidR="006247D0">
        <w:t>sausio</w:t>
      </w:r>
      <w:r>
        <w:t xml:space="preserve"> 1 d. įsigaliojus Kodekso pakeitimams</w:t>
      </w:r>
      <w:r w:rsidR="006247D0">
        <w:rPr>
          <w:rStyle w:val="FootnoteReference"/>
        </w:rPr>
        <w:footnoteReference w:id="15"/>
      </w:r>
      <w:r>
        <w:t xml:space="preserve">, Kodekso 3 straipsnio 47 dalies nuostatos buvo pakeistos, </w:t>
      </w:r>
      <w:r w:rsidR="0054116A">
        <w:t>panaikinant</w:t>
      </w:r>
      <w:r>
        <w:t xml:space="preserve"> apibrėžt</w:t>
      </w:r>
      <w:r w:rsidR="0054116A">
        <w:t>ą</w:t>
      </w:r>
      <w:r>
        <w:t xml:space="preserve"> galimyb</w:t>
      </w:r>
      <w:r w:rsidR="0054116A">
        <w:t>ę</w:t>
      </w:r>
      <w:r>
        <w:t xml:space="preserve"> infrastruktūroje manevruoti</w:t>
      </w:r>
      <w:r w:rsidR="00DD64EC">
        <w:t xml:space="preserve"> ir šis netikslumas įstatymo leidėjo buvo pašalintas</w:t>
      </w:r>
      <w:r>
        <w:t xml:space="preserve">. </w:t>
      </w:r>
    </w:p>
    <w:p w14:paraId="63265E0A" w14:textId="41C1A3AA" w:rsidR="00A16C43" w:rsidRPr="00B50027" w:rsidRDefault="009D3172" w:rsidP="00A16C43">
      <w:pPr>
        <w:pStyle w:val="ListParagraph"/>
        <w:numPr>
          <w:ilvl w:val="0"/>
          <w:numId w:val="15"/>
        </w:numPr>
        <w:tabs>
          <w:tab w:val="left" w:pos="1134"/>
        </w:tabs>
        <w:ind w:left="0" w:firstLine="720"/>
        <w:jc w:val="both"/>
        <w:rPr>
          <w:bCs/>
          <w:lang w:val="en-US"/>
        </w:rPr>
      </w:pPr>
      <w:r>
        <w:lastRenderedPageBreak/>
        <w:t>Svarbu pažymėti</w:t>
      </w:r>
      <w:r w:rsidRPr="00BC1BCF">
        <w:t>, kad GPĮ ir MPP paslaugų apmokestinimas yra skirtingas. Pagal Kodekso 25 straipsnio 3 dalies nuostatas, užmokestis už MPP turi būti lygus išlaidoms, tiesiogiai</w:t>
      </w:r>
      <w:r>
        <w:t xml:space="preserve"> </w:t>
      </w:r>
      <w:r w:rsidRPr="00BC1BCF">
        <w:t xml:space="preserve">patiriamoms dėl traukinių eksploatavimo, išskyrus </w:t>
      </w:r>
      <w:r w:rsidRPr="00BC1BCF">
        <w:rPr>
          <w:color w:val="000000"/>
        </w:rPr>
        <w:t>minėto straipsnio 4 ir 5 dalyse numatytas išimtis,</w:t>
      </w:r>
      <w:r w:rsidRPr="00BC1BCF">
        <w:rPr>
          <w:color w:val="000000"/>
          <w:sz w:val="22"/>
          <w:szCs w:val="22"/>
        </w:rPr>
        <w:t xml:space="preserve"> </w:t>
      </w:r>
      <w:r w:rsidRPr="00BC1BCF">
        <w:t>o pagal Kodek</w:t>
      </w:r>
      <w:r w:rsidRPr="00342CED">
        <w:t>so 30</w:t>
      </w:r>
      <w:r w:rsidRPr="00105455">
        <w:rPr>
          <w:vertAlign w:val="superscript"/>
        </w:rPr>
        <w:t>4 </w:t>
      </w:r>
      <w:r w:rsidRPr="00342CED">
        <w:t>straipsnio 2</w:t>
      </w:r>
      <w:r>
        <w:t> </w:t>
      </w:r>
      <w:r w:rsidRPr="00342CED">
        <w:t xml:space="preserve">dalies nuostatas, </w:t>
      </w:r>
      <w:r>
        <w:t>u</w:t>
      </w:r>
      <w:r w:rsidRPr="00342CED">
        <w:t xml:space="preserve">žmokestis už naudojimąsi </w:t>
      </w:r>
      <w:r>
        <w:t>GPĮ</w:t>
      </w:r>
      <w:r w:rsidRPr="00342CED">
        <w:t>, nurodytais Kodekso 30</w:t>
      </w:r>
      <w:r w:rsidRPr="00105455">
        <w:rPr>
          <w:vertAlign w:val="superscript"/>
        </w:rPr>
        <w:t>1</w:t>
      </w:r>
      <w:r w:rsidRPr="00342CED">
        <w:t xml:space="preserve"> straipsnio 1–9 punktuose, ir šiuose įrenginiuose teikiamomis su geležinkelių transportu susijusiomis pagrindinėmis paslaugomis negali būti didesnis už šių paslaugų teikimo išlaidas, </w:t>
      </w:r>
      <w:r w:rsidRPr="00B902F2">
        <w:t>pridėjus pagrįstą pelną</w:t>
      </w:r>
      <w:r w:rsidRPr="00342CED">
        <w:t>.</w:t>
      </w:r>
      <w:r>
        <w:t xml:space="preserve"> Vadinasi, tų pačių paslaugų teikimą priskyrus vienu atveju MPP, kitu</w:t>
      </w:r>
      <w:r w:rsidR="001A3220">
        <w:t xml:space="preserve"> –</w:t>
      </w:r>
      <w:r>
        <w:t xml:space="preserve"> GPĮ, yra taikomas skirtingas apmokestinimas. Atsižvelgiant į tai, kad pagal susiklosčiusią praktiką MPP paslaugos teikiamos didžiąja dalimi tik tai pačiai kaip ir </w:t>
      </w:r>
      <w:r w:rsidR="00776341">
        <w:t xml:space="preserve">Infra </w:t>
      </w:r>
      <w:r>
        <w:t xml:space="preserve">vertikalios integracijos įmonių grupės priklausančiai įmonei, </w:t>
      </w:r>
      <w:r w:rsidR="00776341">
        <w:t xml:space="preserve">Infros </w:t>
      </w:r>
      <w:r>
        <w:t>aiškinimas</w:t>
      </w:r>
      <w:r>
        <w:rPr>
          <w:rStyle w:val="FootnoteReference"/>
        </w:rPr>
        <w:footnoteReference w:id="16"/>
      </w:r>
      <w:r>
        <w:t xml:space="preserve">, kad atvykus iš tarpstočio ar išvykstant į jį geležinkelio stotyje formavimo ir manevravimo darbai </w:t>
      </w:r>
      <w:r>
        <w:rPr>
          <w:lang w:val="en-US"/>
        </w:rPr>
        <w:t>yra b</w:t>
      </w:r>
      <w:r>
        <w:t xml:space="preserve">ūtini tam, kad vežėjams būtų galimybė pasinaudoti skirtais pajėgumais, todėl </w:t>
      </w:r>
      <w:r w:rsidR="00776341">
        <w:t xml:space="preserve">Infra </w:t>
      </w:r>
      <w:r>
        <w:t>laiko, kad GPĮ formavimo ir manevravimo veiksmai neatliekami, o jie priskiriami MPP paslaugoms, yra palankiausia istoriniam, tai pačiai vertikalios integracijos įmonių grupei priklausančiam vežėjui.</w:t>
      </w:r>
    </w:p>
    <w:p w14:paraId="2773A01A" w14:textId="74D30DD5" w:rsidR="0086342A" w:rsidRPr="00FF6679" w:rsidRDefault="0086342A" w:rsidP="0086342A">
      <w:pPr>
        <w:pStyle w:val="NormalWeb"/>
        <w:numPr>
          <w:ilvl w:val="0"/>
          <w:numId w:val="15"/>
        </w:numPr>
        <w:tabs>
          <w:tab w:val="left" w:pos="1134"/>
        </w:tabs>
        <w:spacing w:before="0" w:beforeAutospacing="0" w:after="0" w:afterAutospacing="0"/>
        <w:ind w:left="0" w:firstLine="720"/>
        <w:contextualSpacing/>
        <w:jc w:val="both"/>
        <w:rPr>
          <w:bCs/>
        </w:rPr>
      </w:pPr>
      <w:r>
        <w:t>Tarnyba, nustatė</w:t>
      </w:r>
      <w:r w:rsidR="007876BE">
        <w:t xml:space="preserve">, kad </w:t>
      </w:r>
      <w:r w:rsidR="0013749C">
        <w:t xml:space="preserve">Infros </w:t>
      </w:r>
      <w:r w:rsidR="007876BE">
        <w:t>teig</w:t>
      </w:r>
      <w:r w:rsidR="0013749C">
        <w:t>inius</w:t>
      </w:r>
      <w:r w:rsidR="007876BE">
        <w:t xml:space="preserve">, jog </w:t>
      </w:r>
      <w:r w:rsidR="0013749C">
        <w:t xml:space="preserve">atvažiavus </w:t>
      </w:r>
      <w:r w:rsidR="007876BE">
        <w:t xml:space="preserve">iš tarpstočio ar </w:t>
      </w:r>
      <w:r w:rsidR="0013749C">
        <w:t xml:space="preserve">išvažiuojant </w:t>
      </w:r>
      <w:r w:rsidR="007876BE">
        <w:t>į tapstotį ir atliekant formavimo ir manevravimo veiksmus vežėjai n</w:t>
      </w:r>
      <w:r w:rsidR="00420489">
        <w:t>ebuvo</w:t>
      </w:r>
      <w:r w:rsidR="007876BE">
        <w:t xml:space="preserve"> apmokestina</w:t>
      </w:r>
      <w:r w:rsidR="00420489">
        <w:t>m</w:t>
      </w:r>
      <w:r w:rsidR="007876BE">
        <w:t>i,</w:t>
      </w:r>
      <w:r w:rsidR="00420489">
        <w:t xml:space="preserve"> </w:t>
      </w:r>
      <w:r w:rsidR="003B3FD5">
        <w:t xml:space="preserve">paneigia paties Valdytojo faktiniai veiksmai, kuomet </w:t>
      </w:r>
      <w:r w:rsidR="007876BE">
        <w:t>jis</w:t>
      </w:r>
      <w:r>
        <w:t xml:space="preserve"> AC 2020 m. sausio–rugsėjo mėn. apskaitė 24 728 vienetus vagonų, kuriems buvo suteikta Antra paslauga</w:t>
      </w:r>
      <w:r w:rsidR="00325B71">
        <w:t>.</w:t>
      </w:r>
      <w:r>
        <w:t xml:space="preserve"> </w:t>
      </w:r>
      <w:r w:rsidR="00325B71">
        <w:t>Pažymėtina</w:t>
      </w:r>
      <w:r>
        <w:t>, kad AC Antra paslauga buvo teikiama Akmenės geležinkelio stotyje</w:t>
      </w:r>
      <w:r w:rsidR="006520A3">
        <w:t>,</w:t>
      </w:r>
      <w:r>
        <w:t xml:space="preserve"> į kurią šio vežėjo traukiniai visais atvejais atvyko iš tarpstočio </w:t>
      </w:r>
      <w:r w:rsidRPr="00B87AEA">
        <w:t>Alkiškiai</w:t>
      </w:r>
      <w:r w:rsidRPr="00B87AEA">
        <w:rPr>
          <w:bCs/>
        </w:rPr>
        <w:t>–Akmenė</w:t>
      </w:r>
      <w:r w:rsidRPr="00B87AEA">
        <w:t xml:space="preserve"> naudojantis MPP paslauga. Tarnybos vertinimu, </w:t>
      </w:r>
      <w:r w:rsidR="00B211E4">
        <w:t>Infros</w:t>
      </w:r>
      <w:r w:rsidR="00B211E4" w:rsidRPr="00B87AEA">
        <w:t xml:space="preserve"> </w:t>
      </w:r>
      <w:r w:rsidRPr="00B87AEA">
        <w:t>paaiškinimas</w:t>
      </w:r>
      <w:r w:rsidRPr="00B87AEA">
        <w:rPr>
          <w:rStyle w:val="FootnoteReference"/>
        </w:rPr>
        <w:footnoteReference w:id="17"/>
      </w:r>
      <w:r w:rsidRPr="00B87AEA">
        <w:t xml:space="preserve">  „</w:t>
      </w:r>
      <w:r w:rsidRPr="00B87AEA">
        <w:rPr>
          <w:i/>
          <w:iCs/>
        </w:rPr>
        <w:t xml:space="preserve">atlikus sistemose fiksuojamų duomenų peržiūrą, negalime identifikuoti konkrečių paslaugų gavėjų ir jų konkrečių formavimo veiksmų kiekio atvykimo ir išvykimo iš / į tarpstotį atveju, </w:t>
      </w:r>
      <w:r w:rsidRPr="00B87AEA">
        <w:rPr>
          <w:b/>
          <w:bCs/>
          <w:i/>
          <w:iCs/>
        </w:rPr>
        <w:t>nes sistemos buvo sukurtos taip, kad jos fiksuotų GPĮ formavimo paslaugas tik važiavimui į privažiuojamuosius kelius ar iš jų</w:t>
      </w:r>
      <w:r w:rsidRPr="00B87AEA">
        <w:t xml:space="preserve">“ nėra suderinamas su tuo, kad AC buvo galimybė VIPAS apskaitos sistemoje apskaityti suteiktos paslaugos kiekį ir su </w:t>
      </w:r>
      <w:r w:rsidR="00B211E4">
        <w:t>Infros</w:t>
      </w:r>
      <w:r w:rsidR="00B211E4" w:rsidRPr="00B87AEA">
        <w:t xml:space="preserve"> </w:t>
      </w:r>
      <w:r w:rsidRPr="00B87AEA">
        <w:t>Rašte Nr.</w:t>
      </w:r>
      <w:r w:rsidR="00325B71">
        <w:t> </w:t>
      </w:r>
      <w:r w:rsidRPr="00B87AEA">
        <w:t xml:space="preserve">SD(LGI)-3358 </w:t>
      </w:r>
      <w:r w:rsidR="00A4583C">
        <w:t>nurodyta aplinkyb</w:t>
      </w:r>
      <w:r w:rsidR="00B211E4">
        <w:t>e</w:t>
      </w:r>
      <w:r w:rsidRPr="00B87AEA">
        <w:t>, kad „</w:t>
      </w:r>
      <w:r w:rsidRPr="00B87AEA">
        <w:rPr>
          <w:i/>
          <w:iCs/>
        </w:rPr>
        <w:t xml:space="preserve">stoties darbuotojas </w:t>
      </w:r>
      <w:r w:rsidRPr="00B87AEA">
        <w:rPr>
          <w:b/>
          <w:bCs/>
          <w:i/>
          <w:iCs/>
        </w:rPr>
        <w:t>realiu laiku VIPAS sistemoje fiksuoja ar buvo atlikti riedmenų formavimo veiksmai</w:t>
      </w:r>
      <w:r w:rsidRPr="00B87AEA">
        <w:rPr>
          <w:i/>
          <w:iCs/>
        </w:rPr>
        <w:t>, kurie priskiriami veiksmus atlikusiam Paslaugų gavėjui</w:t>
      </w:r>
      <w:r w:rsidRPr="00B87AEA">
        <w:t>“. Atsižvelgiant į tai, kad TGNN 17.3.1 papunktyje numatyta, kad „</w:t>
      </w:r>
      <w:r w:rsidRPr="00B87AEA">
        <w:rPr>
          <w:i/>
          <w:iCs/>
        </w:rPr>
        <w:t>Stoties keliuose turi būti manevruojama tik pagal vieno darbuotojo — stoties budėtojo, manevrų tvarkdario, skirstomojo kalnelio arba kelyno budėtojo — nurodymą, o ruožuose, kuriuose įrengta eismo valdymo centralizacija, — traukinių tvarkdario</w:t>
      </w:r>
      <w:r w:rsidRPr="00B87AEA">
        <w:t xml:space="preserve">“ ir į </w:t>
      </w:r>
      <w:r w:rsidR="00B211E4">
        <w:t>Infros</w:t>
      </w:r>
      <w:r w:rsidR="00B211E4" w:rsidRPr="00B87AEA">
        <w:t xml:space="preserve"> </w:t>
      </w:r>
      <w:r w:rsidRPr="00B87AEA">
        <w:t>2021 m. rugpjūčio 24 d. el. laiške pateiktą paaiškinimą „</w:t>
      </w:r>
      <w:r w:rsidRPr="00B87AEA">
        <w:rPr>
          <w:i/>
          <w:iCs/>
        </w:rPr>
        <w:t>atlikti šiuos veiksmus</w:t>
      </w:r>
      <w:r w:rsidRPr="00B87AEA">
        <w:t xml:space="preserve"> [m</w:t>
      </w:r>
      <w:r>
        <w:t>a</w:t>
      </w:r>
      <w:r w:rsidRPr="00B87AEA">
        <w:t xml:space="preserve">nevravimo] </w:t>
      </w:r>
      <w:r w:rsidRPr="00B87AEA">
        <w:rPr>
          <w:i/>
          <w:iCs/>
        </w:rPr>
        <w:t xml:space="preserve">galima tik viename GPĮ </w:t>
      </w:r>
      <w:r>
        <w:rPr>
          <w:i/>
          <w:iCs/>
        </w:rPr>
        <w:t>–</w:t>
      </w:r>
      <w:r w:rsidRPr="00B87AEA">
        <w:rPr>
          <w:i/>
          <w:iCs/>
        </w:rPr>
        <w:t xml:space="preserve"> Kaupiamieji kelynai, traukinių formavimo ir manevravimo įrenginiai. Todėl formavimo veiksmai, kurie skirti MPP paslaugai (siekiant užbaigti / pradėti MPP paslaugos teikimą) ir formavimo veiksmai, kurie skirti GPĮ paslaugai, atliekami tame pačiame GPĮ įrenginyje</w:t>
      </w:r>
      <w:r w:rsidRPr="00B87AEA">
        <w:t xml:space="preserve">“, </w:t>
      </w:r>
      <w:r>
        <w:t xml:space="preserve">Tarnybos vertinimu, </w:t>
      </w:r>
      <w:r w:rsidR="004975A4">
        <w:t>buvo</w:t>
      </w:r>
      <w:r>
        <w:t xml:space="preserve"> vienoda galimybė visus manevravimo veiksmus </w:t>
      </w:r>
      <w:r w:rsidR="00A64E82">
        <w:t xml:space="preserve">visiems pareiškėjams </w:t>
      </w:r>
      <w:r w:rsidR="004975A4">
        <w:t xml:space="preserve">atvažiavusiems </w:t>
      </w:r>
      <w:r w:rsidR="00A64E82">
        <w:t xml:space="preserve">iš tarpstočių </w:t>
      </w:r>
      <w:r>
        <w:t>apskaityti VIPAS sistemoje ir vienodai juos apmokestinti, t. y. kaip už naudojimąsi Antra paslauga</w:t>
      </w:r>
      <w:r w:rsidR="00420489">
        <w:t>, o ne laikyti juos MPP dalimi</w:t>
      </w:r>
      <w:r>
        <w:t>.</w:t>
      </w:r>
    </w:p>
    <w:p w14:paraId="154AD084" w14:textId="25EB8D32" w:rsidR="0086342A" w:rsidRPr="004271CF" w:rsidRDefault="003D0054" w:rsidP="0086342A">
      <w:pPr>
        <w:pStyle w:val="NormalWeb"/>
        <w:numPr>
          <w:ilvl w:val="0"/>
          <w:numId w:val="15"/>
        </w:numPr>
        <w:tabs>
          <w:tab w:val="left" w:pos="1134"/>
        </w:tabs>
        <w:spacing w:before="0" w:beforeAutospacing="0" w:after="0" w:afterAutospacing="0"/>
        <w:ind w:left="0" w:firstLine="720"/>
        <w:contextualSpacing/>
        <w:jc w:val="both"/>
        <w:rPr>
          <w:bCs/>
        </w:rPr>
      </w:pPr>
      <w:r>
        <w:t>Infros</w:t>
      </w:r>
      <w:r w:rsidR="0086342A">
        <w:t xml:space="preserve"> argumentas, kad formavimo veiksmai yra reikalingi MPP paslaugos užbaigimui ir pradėjimui, todėl traukiniui at</w:t>
      </w:r>
      <w:r>
        <w:t>važiavus</w:t>
      </w:r>
      <w:r w:rsidR="0086342A">
        <w:t xml:space="preserve"> iš tarpstočio ar išv</w:t>
      </w:r>
      <w:r>
        <w:t>ažiuojant</w:t>
      </w:r>
      <w:r w:rsidR="0086342A">
        <w:t xml:space="preserve"> į jį manevravimo ir formavimo veiksmai priskirtini prie MPP paslaugų ir neturi būti papildomai apskaitomi</w:t>
      </w:r>
      <w:r w:rsidR="0056239D">
        <w:t>, nepagrįstas</w:t>
      </w:r>
      <w:r w:rsidR="0086342A">
        <w:t xml:space="preserve">. </w:t>
      </w:r>
      <w:r w:rsidR="00EF5E30">
        <w:t>Pažymėtina, kad GPĮ yra teikiam</w:t>
      </w:r>
      <w:r w:rsidR="00106E5F">
        <w:t>os</w:t>
      </w:r>
      <w:r w:rsidR="00EF5E30">
        <w:t xml:space="preserve"> įvairios paslaugos be kurių vežėja</w:t>
      </w:r>
      <w:r w:rsidR="00106E5F">
        <w:t>i</w:t>
      </w:r>
      <w:r w:rsidR="00EF5E30">
        <w:t xml:space="preserve"> negalėtų naudotis skirtais pajėgumais (pakrovimas, techninės pagalbos suteikimas, kuro pildymas), tačiau tai nereiškia, kad šios visos paslaugos, be kurių nebūtų galimybės ar tikslo  naudotis MPP</w:t>
      </w:r>
      <w:r w:rsidR="00DA1A4D">
        <w:t>,</w:t>
      </w:r>
      <w:r w:rsidR="00EF5E30">
        <w:t xml:space="preserve"> tampa MPP dalimi.</w:t>
      </w:r>
      <w:r w:rsidR="00DA1A4D">
        <w:t xml:space="preserve"> Tai patvirtina ir  </w:t>
      </w:r>
      <w:r w:rsidR="0086342A">
        <w:t>Kodekso 4</w:t>
      </w:r>
      <w:r w:rsidR="0086342A">
        <w:rPr>
          <w:vertAlign w:val="superscript"/>
        </w:rPr>
        <w:t>1</w:t>
      </w:r>
      <w:r w:rsidR="0086342A">
        <w:t xml:space="preserve"> straipsnio, 30</w:t>
      </w:r>
      <w:r w:rsidR="0086342A">
        <w:rPr>
          <w:vertAlign w:val="superscript"/>
        </w:rPr>
        <w:t>2</w:t>
      </w:r>
      <w:r w:rsidR="0086342A">
        <w:t xml:space="preserve"> straipsnio 6 dalies nuost</w:t>
      </w:r>
      <w:r w:rsidR="00DA1A4D">
        <w:t>atos, kuriose įtvirtinti</w:t>
      </w:r>
      <w:r w:rsidR="0086342A">
        <w:t xml:space="preserve"> apskaitos atskyrimo reikalavimai</w:t>
      </w:r>
      <w:r w:rsidR="00325B71">
        <w:t>,</w:t>
      </w:r>
      <w:r w:rsidR="0086342A">
        <w:t xml:space="preserve"> numa</w:t>
      </w:r>
      <w:r w:rsidR="00DA1A4D">
        <w:t>tan</w:t>
      </w:r>
      <w:r w:rsidR="0086342A">
        <w:t>t</w:t>
      </w:r>
      <w:r w:rsidR="00DA1A4D">
        <w:t>ys</w:t>
      </w:r>
      <w:r w:rsidR="0086342A">
        <w:t xml:space="preserve">, kad </w:t>
      </w:r>
      <w:r w:rsidR="0086342A" w:rsidRPr="00935218">
        <w:rPr>
          <w:b/>
          <w:bCs/>
        </w:rPr>
        <w:t>visos GPĮ teikiamos paslaugos būtų atskirtos</w:t>
      </w:r>
      <w:r w:rsidR="0086342A">
        <w:t xml:space="preserve"> nuo kitų su geležinkelių transportu susijusių paslaugų, pvz. MPP paslaugų, ir būtų sudaromos atskiros pelno nuostolių ataskaitos ir balansai. </w:t>
      </w:r>
    </w:p>
    <w:p w14:paraId="35A8F92F" w14:textId="4591C42E" w:rsidR="0086342A" w:rsidRPr="00046EAC" w:rsidRDefault="0086342A" w:rsidP="0086342A">
      <w:pPr>
        <w:pStyle w:val="NormalWeb"/>
        <w:numPr>
          <w:ilvl w:val="0"/>
          <w:numId w:val="15"/>
        </w:numPr>
        <w:tabs>
          <w:tab w:val="left" w:pos="1134"/>
        </w:tabs>
        <w:spacing w:before="0" w:beforeAutospacing="0" w:after="0" w:afterAutospacing="0"/>
        <w:ind w:left="0" w:firstLine="720"/>
        <w:contextualSpacing/>
        <w:jc w:val="both"/>
        <w:rPr>
          <w:bCs/>
        </w:rPr>
      </w:pPr>
      <w:r>
        <w:lastRenderedPageBreak/>
        <w:t xml:space="preserve">Tarnyba nustatė, kad nepaisant to, kad </w:t>
      </w:r>
      <w:r w:rsidR="00E53DB8">
        <w:t xml:space="preserve">Infra </w:t>
      </w:r>
      <w:r>
        <w:t>teigia, jog vežėjas atlikdamas formavimo ir manevravimo veiksmus atv</w:t>
      </w:r>
      <w:r w:rsidR="00CF4FF6">
        <w:t>ažiavęs</w:t>
      </w:r>
      <w:r>
        <w:t xml:space="preserve"> iš tarpstočio ar išv</w:t>
      </w:r>
      <w:r w:rsidR="00CF4FF6">
        <w:t>ažiavęs</w:t>
      </w:r>
      <w:r>
        <w:t xml:space="preserve"> į jį yra apmokestinamas kaip MPP paslaugos naudotojas, tačiau šių veiksmų neapskait</w:t>
      </w:r>
      <w:r w:rsidR="00E57AF0">
        <w:t>ė</w:t>
      </w:r>
      <w:r>
        <w:t>, todėl visiškai n</w:t>
      </w:r>
      <w:r w:rsidR="00E57AF0">
        <w:t>ebuvo</w:t>
      </w:r>
      <w:r>
        <w:t xml:space="preserve"> identifikuojama, kiek išlaidų</w:t>
      </w:r>
      <w:r w:rsidR="00E57AF0">
        <w:t xml:space="preserve"> </w:t>
      </w:r>
      <w:r w:rsidR="00E53DB8">
        <w:t xml:space="preserve">Infra </w:t>
      </w:r>
      <w:r>
        <w:t>pat</w:t>
      </w:r>
      <w:r w:rsidR="00E57AF0">
        <w:t>yrė</w:t>
      </w:r>
      <w:r>
        <w:t xml:space="preserve"> dėl tokių formavimo ir manevravimo veiksmų</w:t>
      </w:r>
      <w:r w:rsidR="00E57AF0">
        <w:t>.</w:t>
      </w:r>
      <w:r>
        <w:t xml:space="preserve"> </w:t>
      </w:r>
      <w:r w:rsidR="00E57AF0">
        <w:t>Š</w:t>
      </w:r>
      <w:r>
        <w:t>ios išlaidos n</w:t>
      </w:r>
      <w:r w:rsidR="00E57AF0">
        <w:t>ebuvo</w:t>
      </w:r>
      <w:r>
        <w:t xml:space="preserve"> priskiriamos prie MPP paslaugų</w:t>
      </w:r>
      <w:r w:rsidR="00FF30E0">
        <w:t xml:space="preserve">, jos </w:t>
      </w:r>
      <w:r w:rsidR="00FF7ACE">
        <w:t xml:space="preserve">nepagrįstai </w:t>
      </w:r>
      <w:r w:rsidR="00FF30E0">
        <w:t xml:space="preserve">perkeliamos </w:t>
      </w:r>
      <w:r w:rsidR="00A35B5A">
        <w:t>kitų paslaugų naudotojams</w:t>
      </w:r>
      <w:r>
        <w:t xml:space="preserve">. </w:t>
      </w:r>
    </w:p>
    <w:p w14:paraId="4778ED1F" w14:textId="5678561D" w:rsidR="0086342A" w:rsidRPr="002B735F" w:rsidRDefault="0086342A" w:rsidP="0086342A">
      <w:pPr>
        <w:pStyle w:val="NormalWeb"/>
        <w:numPr>
          <w:ilvl w:val="0"/>
          <w:numId w:val="15"/>
        </w:numPr>
        <w:tabs>
          <w:tab w:val="left" w:pos="1134"/>
        </w:tabs>
        <w:spacing w:before="0" w:beforeAutospacing="0" w:after="0" w:afterAutospacing="0"/>
        <w:ind w:left="0" w:firstLine="720"/>
        <w:contextualSpacing/>
        <w:jc w:val="both"/>
        <w:rPr>
          <w:bCs/>
        </w:rPr>
      </w:pPr>
      <w:r>
        <w:t xml:space="preserve">Atsižvelgiant į tai, kad tyrimo metu buvo nustatyta, kad formavimo ir manevravimo darbai tiek traukiniui </w:t>
      </w:r>
      <w:r w:rsidR="00CB0603">
        <w:t>atvažiavus</w:t>
      </w:r>
      <w:r>
        <w:t xml:space="preserve"> iš tarpstočio ar </w:t>
      </w:r>
      <w:r w:rsidR="00CB0603">
        <w:t xml:space="preserve">išvažiuojant </w:t>
      </w:r>
      <w:r>
        <w:t xml:space="preserve">į jį, tiek atvarant vagonus iš privažiuojamųjų kelių ar išvarant į juos, buvo atliekami tuose pačiuose KKTFMĮ, </w:t>
      </w:r>
      <w:r w:rsidR="00CB0603">
        <w:t xml:space="preserve">ir kad KKTFMĮ priskirti GPĮ, </w:t>
      </w:r>
      <w:r>
        <w:t xml:space="preserve">vadovaujantis </w:t>
      </w:r>
      <w:r w:rsidRPr="00BC1BCF">
        <w:t>Kodekso 4 straipsnio 1 punkte įtvirtint</w:t>
      </w:r>
      <w:r>
        <w:t>u</w:t>
      </w:r>
      <w:r w:rsidRPr="00BC1BCF">
        <w:t xml:space="preserve"> nediskriminacin</w:t>
      </w:r>
      <w:r>
        <w:t>iu</w:t>
      </w:r>
      <w:r w:rsidRPr="00BC1BCF">
        <w:t xml:space="preserve"> geležinkelių transporto veiklos principu</w:t>
      </w:r>
      <w:r>
        <w:t>, visi vienodai atliekami veiksmai turėjo būti apskaitomi ir apmokestinami tokiomis pačiomis sąlygomis bei tokiais pačiais tarifais</w:t>
      </w:r>
      <w:r w:rsidR="00CB0603">
        <w:t>, kaip GPĮ paslaugos</w:t>
      </w:r>
      <w:r>
        <w:t>.</w:t>
      </w:r>
    </w:p>
    <w:p w14:paraId="052DA764" w14:textId="168BCF50" w:rsidR="0086342A" w:rsidRPr="00934BA1" w:rsidRDefault="00A35B5A" w:rsidP="0086342A">
      <w:pPr>
        <w:pStyle w:val="NormalWeb"/>
        <w:numPr>
          <w:ilvl w:val="0"/>
          <w:numId w:val="15"/>
        </w:numPr>
        <w:tabs>
          <w:tab w:val="left" w:pos="1134"/>
        </w:tabs>
        <w:spacing w:before="0" w:beforeAutospacing="0" w:after="0" w:afterAutospacing="0"/>
        <w:ind w:left="0" w:firstLine="720"/>
        <w:contextualSpacing/>
        <w:jc w:val="both"/>
        <w:rPr>
          <w:bCs/>
        </w:rPr>
      </w:pPr>
      <w:r>
        <w:t>Tarnyba nustatė</w:t>
      </w:r>
      <w:r w:rsidR="0086342A">
        <w:t>, kad Antros paslaugos užmokesčio tarif</w:t>
      </w:r>
      <w:r>
        <w:t>ą</w:t>
      </w:r>
      <w:r w:rsidR="0086342A">
        <w:t>, vadovau</w:t>
      </w:r>
      <w:r>
        <w:t>damasis</w:t>
      </w:r>
      <w:r w:rsidR="0086342A">
        <w:t xml:space="preserve"> GPĮ kainodaros metodikos 2.3.1 papunkčiu, </w:t>
      </w:r>
      <w:r w:rsidR="0036700A">
        <w:t xml:space="preserve">Infra </w:t>
      </w:r>
      <w:r w:rsidR="0086342A">
        <w:t>apskaiči</w:t>
      </w:r>
      <w:r>
        <w:t>avo</w:t>
      </w:r>
      <w:r w:rsidR="0086342A">
        <w:t xml:space="preserve"> prie paslaugos vieneto savikainos pridėj</w:t>
      </w:r>
      <w:r w:rsidR="0036700A">
        <w:t>usi</w:t>
      </w:r>
      <w:r w:rsidR="0086342A">
        <w:t xml:space="preserve"> pagrįstą pelną</w:t>
      </w:r>
      <w:r w:rsidR="007611CD">
        <w:t>.</w:t>
      </w:r>
      <w:r w:rsidR="0086342A">
        <w:t xml:space="preserve"> </w:t>
      </w:r>
      <w:r w:rsidR="007611CD">
        <w:t>P</w:t>
      </w:r>
      <w:r w:rsidR="0086342A">
        <w:t xml:space="preserve">agal </w:t>
      </w:r>
      <w:r w:rsidR="0036700A">
        <w:t xml:space="preserve">Infros </w:t>
      </w:r>
      <w:r w:rsidR="0086342A">
        <w:t xml:space="preserve">Raštu Nr. SD-PAJ(LGI)-27 pateiktus paaiškinimus ir šio rašto 1 priede pateiktus skaičiavimus, GPĮ paslaugų vieneto savikaina, </w:t>
      </w:r>
      <w:r w:rsidR="001A3220">
        <w:t>įskaitant</w:t>
      </w:r>
      <w:r w:rsidR="0086342A">
        <w:t xml:space="preserve"> ir Antros paslaugos vieneto savikain</w:t>
      </w:r>
      <w:r w:rsidR="005C2DD4">
        <w:t>ą</w:t>
      </w:r>
      <w:r w:rsidR="0086342A">
        <w:t xml:space="preserve"> buvo apskaičiuota iš paslaugai priskirtos bendros savikainos padalinus suteiktų paslaugų kiekį, </w:t>
      </w:r>
      <w:r w:rsidR="007611CD">
        <w:t xml:space="preserve">o bendroji paslaugos savikaina buvo nustatyta išlaidas paskirstant proporcingai suteiktos paslaugos kiekiui. </w:t>
      </w:r>
      <w:r w:rsidR="000A3B38">
        <w:t>Konstatuotina, kad neteisingai buvo apskaitytas suteiktos Antros paslaugos kiekis, į šį kiekį neįtraukiant formavimo ir manevravimo paslaugų, kurios buvo atliktos traukiniui atvykus iš tarpstočio ar išvykstant į jį, skaičiaus, todėl nepagrįstai buvo apskaičiuota bendroji Antros paslaugos savikaina</w:t>
      </w:r>
      <w:r w:rsidR="000A3B38" w:rsidRPr="00E87A55">
        <w:t>, o tai lėmė, kad Antros paslaugos tarifas taip pat yra apskaičiuotas netinkamai ir nepagrįstai nustatytas</w:t>
      </w:r>
    </w:p>
    <w:p w14:paraId="6ED723D8" w14:textId="7EDA59D5" w:rsidR="002C5570" w:rsidRDefault="0086342A" w:rsidP="000A6102">
      <w:pPr>
        <w:pStyle w:val="NormalWeb"/>
        <w:numPr>
          <w:ilvl w:val="0"/>
          <w:numId w:val="15"/>
        </w:numPr>
        <w:tabs>
          <w:tab w:val="left" w:pos="1134"/>
        </w:tabs>
        <w:spacing w:before="0" w:beforeAutospacing="0" w:after="0" w:afterAutospacing="0"/>
        <w:ind w:left="0" w:firstLine="709"/>
        <w:contextualSpacing/>
        <w:jc w:val="both"/>
        <w:rPr>
          <w:bCs/>
        </w:rPr>
      </w:pPr>
      <w:r>
        <w:t xml:space="preserve">Tarnyba nustatė, kad Antros paslaugos </w:t>
      </w:r>
      <w:r w:rsidRPr="004F5AEF">
        <w:t>tarif</w:t>
      </w:r>
      <w:r w:rsidR="00B17002" w:rsidRPr="004F5AEF">
        <w:t xml:space="preserve">us </w:t>
      </w:r>
      <w:r w:rsidR="00F6776F" w:rsidRPr="004F5AEF">
        <w:t xml:space="preserve">2021–2022 TTT galiojimo laikotarpiui </w:t>
      </w:r>
      <w:r w:rsidR="0036700A">
        <w:t>Infra</w:t>
      </w:r>
      <w:r w:rsidR="0036700A" w:rsidRPr="004F5AEF">
        <w:t xml:space="preserve">  </w:t>
      </w:r>
      <w:r w:rsidRPr="004F5AEF">
        <w:t>apskaiči</w:t>
      </w:r>
      <w:r w:rsidR="00B17002" w:rsidRPr="004F5AEF">
        <w:t>avo</w:t>
      </w:r>
      <w:r>
        <w:t xml:space="preserve"> rem</w:t>
      </w:r>
      <w:r w:rsidR="00B17002">
        <w:t>damasi</w:t>
      </w:r>
      <w:r w:rsidR="00320106">
        <w:t xml:space="preserve"> </w:t>
      </w:r>
      <w:r>
        <w:t xml:space="preserve"> </w:t>
      </w:r>
      <w:r w:rsidRPr="007431BF">
        <w:rPr>
          <w:bCs/>
        </w:rPr>
        <w:t xml:space="preserve">2020 m. sausio–rugsėjo mėn. duomenimis, o tyrimo metu paaiškėjo, kad </w:t>
      </w:r>
      <w:r w:rsidR="00DE649E">
        <w:rPr>
          <w:bCs/>
        </w:rPr>
        <w:t>Infra</w:t>
      </w:r>
      <w:r w:rsidR="00DE649E" w:rsidRPr="007431BF">
        <w:rPr>
          <w:bCs/>
        </w:rPr>
        <w:t xml:space="preserve"> </w:t>
      </w:r>
      <w:r w:rsidRPr="007431BF">
        <w:rPr>
          <w:bCs/>
        </w:rPr>
        <w:t>neteisingai apskaitė 2020 m. rugpjūčio–gruodžio mėn. suteiktos Antros paslaugos kiekį</w:t>
      </w:r>
      <w:r w:rsidR="008D1859" w:rsidRPr="007431BF">
        <w:rPr>
          <w:bCs/>
        </w:rPr>
        <w:t xml:space="preserve">. Atsižvelgiant į tai, </w:t>
      </w:r>
      <w:r w:rsidR="00B17002" w:rsidRPr="007431BF">
        <w:rPr>
          <w:bCs/>
        </w:rPr>
        <w:t xml:space="preserve">konstatuotina, kad </w:t>
      </w:r>
      <w:r w:rsidR="00DE649E">
        <w:rPr>
          <w:bCs/>
        </w:rPr>
        <w:t>Infra</w:t>
      </w:r>
      <w:r w:rsidR="00DE649E" w:rsidRPr="007431BF">
        <w:rPr>
          <w:bCs/>
        </w:rPr>
        <w:t xml:space="preserve"> </w:t>
      </w:r>
      <w:r w:rsidR="00B17002" w:rsidRPr="007431BF">
        <w:rPr>
          <w:bCs/>
        </w:rPr>
        <w:t>Antros paslaugos užmokesčio tarifo apskaičiavimui</w:t>
      </w:r>
      <w:r w:rsidR="00B17002" w:rsidRPr="007431BF" w:rsidDel="008D1859">
        <w:rPr>
          <w:bCs/>
        </w:rPr>
        <w:t xml:space="preserve"> </w:t>
      </w:r>
      <w:r w:rsidR="007431BF" w:rsidRPr="007431BF">
        <w:rPr>
          <w:color w:val="000000" w:themeColor="text1"/>
        </w:rPr>
        <w:t xml:space="preserve">2021–2022 TTT galiojimo </w:t>
      </w:r>
      <w:r w:rsidR="007431BF" w:rsidRPr="007431BF">
        <w:rPr>
          <w:bCs/>
        </w:rPr>
        <w:t>laikotarpiui</w:t>
      </w:r>
      <w:r w:rsidR="007431BF" w:rsidRPr="007431BF" w:rsidDel="008D1859">
        <w:rPr>
          <w:bCs/>
        </w:rPr>
        <w:t xml:space="preserve"> </w:t>
      </w:r>
      <w:r w:rsidR="007431BF" w:rsidRPr="007431BF">
        <w:rPr>
          <w:bCs/>
        </w:rPr>
        <w:t xml:space="preserve">naudojo neteisingus </w:t>
      </w:r>
      <w:r w:rsidR="00CB47FD" w:rsidRPr="007431BF">
        <w:rPr>
          <w:bCs/>
        </w:rPr>
        <w:t>2020 m. rugpjūčio–</w:t>
      </w:r>
      <w:r w:rsidR="00CB47FD">
        <w:rPr>
          <w:bCs/>
        </w:rPr>
        <w:t>rugsėjo</w:t>
      </w:r>
      <w:r w:rsidR="00CB47FD" w:rsidRPr="007431BF">
        <w:rPr>
          <w:bCs/>
        </w:rPr>
        <w:t xml:space="preserve"> mėn</w:t>
      </w:r>
      <w:r w:rsidR="00CB47FD">
        <w:rPr>
          <w:bCs/>
        </w:rPr>
        <w:t xml:space="preserve">. </w:t>
      </w:r>
      <w:r w:rsidR="007431BF" w:rsidRPr="007431BF">
        <w:rPr>
          <w:bCs/>
        </w:rPr>
        <w:t>duomenis, kurie sąlygojo neteising</w:t>
      </w:r>
      <w:r w:rsidR="007431BF">
        <w:rPr>
          <w:bCs/>
        </w:rPr>
        <w:t>ų ir nepagrįstų</w:t>
      </w:r>
      <w:r w:rsidR="007431BF" w:rsidRPr="007431BF">
        <w:rPr>
          <w:bCs/>
        </w:rPr>
        <w:t xml:space="preserve"> Antros paslaugos tarifų 2021–2022 TTT galiojimo laikotarpiui nustatymą.</w:t>
      </w:r>
    </w:p>
    <w:p w14:paraId="0B8ECBB1" w14:textId="3B05F6BA" w:rsidR="00CB01C7" w:rsidRPr="007431BF" w:rsidRDefault="007431BF" w:rsidP="000A6102">
      <w:pPr>
        <w:pStyle w:val="NormalWeb"/>
        <w:numPr>
          <w:ilvl w:val="0"/>
          <w:numId w:val="15"/>
        </w:numPr>
        <w:tabs>
          <w:tab w:val="left" w:pos="1134"/>
        </w:tabs>
        <w:spacing w:before="0" w:beforeAutospacing="0" w:after="0" w:afterAutospacing="0"/>
        <w:ind w:left="0" w:firstLine="709"/>
        <w:contextualSpacing/>
        <w:jc w:val="both"/>
        <w:rPr>
          <w:bCs/>
        </w:rPr>
      </w:pPr>
      <w:r w:rsidRPr="007431BF">
        <w:rPr>
          <w:bCs/>
        </w:rPr>
        <w:t xml:space="preserve"> </w:t>
      </w:r>
      <w:r w:rsidR="00CB01C7" w:rsidRPr="007431BF">
        <w:rPr>
          <w:bCs/>
        </w:rPr>
        <w:t>Atsižvelgdamas į aukščiau išdėstytą, įvertin</w:t>
      </w:r>
      <w:r w:rsidR="00151DC7" w:rsidRPr="007431BF">
        <w:rPr>
          <w:bCs/>
        </w:rPr>
        <w:t>ęs</w:t>
      </w:r>
      <w:r w:rsidR="00CB01C7" w:rsidRPr="007431BF">
        <w:rPr>
          <w:bCs/>
        </w:rPr>
        <w:t xml:space="preserve"> </w:t>
      </w:r>
      <w:r w:rsidR="00151DC7" w:rsidRPr="007431BF">
        <w:rPr>
          <w:bCs/>
        </w:rPr>
        <w:t>tyrimo</w:t>
      </w:r>
      <w:r w:rsidR="00CB01C7" w:rsidRPr="007431BF">
        <w:rPr>
          <w:bCs/>
        </w:rPr>
        <w:t xml:space="preserve"> nagrinėjimui pateiktų dokumentų ir aplinkybių visetą</w:t>
      </w:r>
      <w:r w:rsidR="00151DC7" w:rsidRPr="007431BF">
        <w:rPr>
          <w:bCs/>
        </w:rPr>
        <w:t>:</w:t>
      </w:r>
    </w:p>
    <w:p w14:paraId="18E18A11" w14:textId="77777777" w:rsidR="00AF448E" w:rsidRDefault="00AF448E" w:rsidP="00AF448E">
      <w:pPr>
        <w:pStyle w:val="NormalWeb"/>
        <w:tabs>
          <w:tab w:val="left" w:pos="1134"/>
        </w:tabs>
        <w:spacing w:before="0" w:beforeAutospacing="0" w:after="0" w:afterAutospacing="0"/>
        <w:ind w:left="360"/>
        <w:contextualSpacing/>
        <w:jc w:val="both"/>
        <w:rPr>
          <w:bCs/>
        </w:rPr>
      </w:pPr>
    </w:p>
    <w:p w14:paraId="02A48D8E" w14:textId="19B52FBA" w:rsidR="00AF448E" w:rsidRDefault="00AF448E" w:rsidP="00AF448E">
      <w:pPr>
        <w:pStyle w:val="NormalWeb"/>
        <w:tabs>
          <w:tab w:val="left" w:pos="1134"/>
        </w:tabs>
        <w:spacing w:before="0" w:beforeAutospacing="0" w:after="0" w:afterAutospacing="0"/>
        <w:ind w:firstLine="709"/>
        <w:contextualSpacing/>
        <w:jc w:val="both"/>
        <w:rPr>
          <w:color w:val="000000" w:themeColor="text1"/>
        </w:rPr>
      </w:pPr>
      <w:r>
        <w:rPr>
          <w:bCs/>
        </w:rPr>
        <w:t xml:space="preserve">Į p a r e i g o j u </w:t>
      </w:r>
      <w:r w:rsidR="00DE649E">
        <w:rPr>
          <w:bCs/>
        </w:rPr>
        <w:t>Infrą</w:t>
      </w:r>
      <w:r>
        <w:rPr>
          <w:bCs/>
        </w:rPr>
        <w:t xml:space="preserve"> </w:t>
      </w:r>
      <w:r w:rsidR="000D6A22">
        <w:rPr>
          <w:bCs/>
        </w:rPr>
        <w:t>ne vėliau kaip iki 2022 m. gruodžio 1</w:t>
      </w:r>
      <w:r w:rsidR="00727AD6">
        <w:rPr>
          <w:bCs/>
        </w:rPr>
        <w:t>0</w:t>
      </w:r>
      <w:r w:rsidR="000D6A22">
        <w:rPr>
          <w:bCs/>
        </w:rPr>
        <w:t xml:space="preserve"> d. </w:t>
      </w:r>
      <w:r>
        <w:rPr>
          <w:bCs/>
        </w:rPr>
        <w:t xml:space="preserve">perskaičiuoti Pirmos ir </w:t>
      </w:r>
      <w:bookmarkStart w:id="2" w:name="_Hlk98951436"/>
      <w:r>
        <w:rPr>
          <w:bCs/>
        </w:rPr>
        <w:t xml:space="preserve">Antros paslaugos tarifus </w:t>
      </w:r>
      <w:r w:rsidRPr="00056932">
        <w:rPr>
          <w:color w:val="000000" w:themeColor="text1"/>
        </w:rPr>
        <w:t>2021</w:t>
      </w:r>
      <w:r>
        <w:rPr>
          <w:color w:val="000000" w:themeColor="text1"/>
        </w:rPr>
        <w:t>–</w:t>
      </w:r>
      <w:r w:rsidRPr="00056932">
        <w:rPr>
          <w:color w:val="000000" w:themeColor="text1"/>
        </w:rPr>
        <w:t xml:space="preserve">2022 </w:t>
      </w:r>
      <w:r>
        <w:rPr>
          <w:color w:val="000000" w:themeColor="text1"/>
        </w:rPr>
        <w:t xml:space="preserve">TTT galiojimo laikotarpiui </w:t>
      </w:r>
      <w:bookmarkEnd w:id="2"/>
      <w:r>
        <w:rPr>
          <w:color w:val="000000" w:themeColor="text1"/>
        </w:rPr>
        <w:t>ir ne vėliau kaip kitą darbo dieną po šių paslaugų tarifų perskaičiavimo paskelbti juos savo interneto svetainėje</w:t>
      </w:r>
      <w:r w:rsidR="007611CD">
        <w:rPr>
          <w:color w:val="000000" w:themeColor="text1"/>
        </w:rPr>
        <w:t xml:space="preserve"> ir informuoti Tarnybą</w:t>
      </w:r>
      <w:r>
        <w:rPr>
          <w:color w:val="000000" w:themeColor="text1"/>
        </w:rPr>
        <w:t>, o apie nuo 2021 m. gruodžio 12 d.  perskaičiuotą pareiškėjų mokėtiną užmokestį už Pirmos ir Antros paslaugą ar permoką už šias paslaugas, jeigu tokia buvo nustatyta, raštu pranešti konkrečiam pareiškėjui.</w:t>
      </w:r>
    </w:p>
    <w:p w14:paraId="7DD72080" w14:textId="77777777" w:rsidR="00AF448E" w:rsidRDefault="00AF448E" w:rsidP="00AF448E">
      <w:pPr>
        <w:pStyle w:val="NormalWeb"/>
        <w:spacing w:before="0" w:beforeAutospacing="0" w:after="0" w:afterAutospacing="0"/>
        <w:ind w:left="360"/>
        <w:contextualSpacing/>
        <w:jc w:val="both"/>
        <w:rPr>
          <w:bCs/>
        </w:rPr>
      </w:pPr>
    </w:p>
    <w:p w14:paraId="4106DD3E" w14:textId="1F772A77" w:rsidR="00AF448E" w:rsidRPr="000A6102" w:rsidRDefault="00AF448E" w:rsidP="000A6102">
      <w:pPr>
        <w:pStyle w:val="ListParagraph"/>
        <w:tabs>
          <w:tab w:val="left" w:pos="720"/>
          <w:tab w:val="center" w:pos="4320"/>
          <w:tab w:val="right" w:pos="8640"/>
        </w:tabs>
        <w:ind w:left="0" w:firstLine="709"/>
        <w:jc w:val="both"/>
        <w:rPr>
          <w:color w:val="000000"/>
          <w:lang w:val="en-US"/>
        </w:rPr>
      </w:pPr>
      <w:r w:rsidRPr="00AF448E">
        <w:rPr>
          <w:color w:val="000000"/>
        </w:rPr>
        <w:t>I š a i š k i n u, kad šis įsakymas per vieną mėnesį nuo jo gavimo dienos gali būti skundžiamas Vilniaus apygardos administraciniam teismui Lietuvos Respublikos administracinių bylų teisenos įstatymo nustatyta tvarka ir sąlygomis.</w:t>
      </w:r>
    </w:p>
    <w:p w14:paraId="3F625EFA" w14:textId="77777777" w:rsidR="00AF448E" w:rsidRPr="00C34928" w:rsidRDefault="00AF448E" w:rsidP="00AF448E">
      <w:pPr>
        <w:pStyle w:val="NormalWeb"/>
        <w:spacing w:before="0" w:beforeAutospacing="0" w:after="0" w:afterAutospacing="0"/>
        <w:ind w:left="360"/>
        <w:contextualSpacing/>
        <w:jc w:val="both"/>
        <w:rPr>
          <w:bCs/>
        </w:rPr>
      </w:pPr>
    </w:p>
    <w:p w14:paraId="3BD94D1F" w14:textId="53672716" w:rsidR="001A2779" w:rsidRDefault="001A2779" w:rsidP="00AF448E">
      <w:pPr>
        <w:pStyle w:val="ListParagraph"/>
        <w:tabs>
          <w:tab w:val="left" w:pos="993"/>
        </w:tabs>
        <w:jc w:val="both"/>
        <w:rPr>
          <w:b/>
          <w:bCs/>
        </w:rPr>
      </w:pPr>
    </w:p>
    <w:p w14:paraId="375346F1" w14:textId="10D55E20" w:rsidR="00AF448E" w:rsidRDefault="00AF448E" w:rsidP="00AF448E">
      <w:pPr>
        <w:pStyle w:val="ListParagraph"/>
        <w:tabs>
          <w:tab w:val="left" w:pos="993"/>
        </w:tabs>
        <w:jc w:val="both"/>
        <w:rPr>
          <w:b/>
          <w:bCs/>
        </w:rPr>
      </w:pPr>
    </w:p>
    <w:p w14:paraId="6488AB8B" w14:textId="77777777" w:rsidR="00AF448E" w:rsidRPr="001A2779" w:rsidRDefault="00AF448E" w:rsidP="00AF448E">
      <w:pPr>
        <w:pStyle w:val="ListParagraph"/>
        <w:tabs>
          <w:tab w:val="left" w:pos="993"/>
        </w:tabs>
        <w:jc w:val="both"/>
        <w:rPr>
          <w:b/>
          <w:bCs/>
        </w:rPr>
      </w:pPr>
    </w:p>
    <w:p w14:paraId="04D510D3" w14:textId="262C4B80" w:rsidR="001F4374" w:rsidRDefault="00195403" w:rsidP="000F5C00">
      <w:pPr>
        <w:pStyle w:val="BodyTextIndent"/>
        <w:tabs>
          <w:tab w:val="left" w:pos="1134"/>
        </w:tabs>
        <w:spacing w:line="280" w:lineRule="exact"/>
        <w:ind w:firstLine="0"/>
      </w:pPr>
      <w:r>
        <w:rPr>
          <w:color w:val="000000" w:themeColor="text1"/>
        </w:rPr>
        <w:t>Direktorius</w:t>
      </w:r>
      <w:r w:rsidR="000F5C00" w:rsidRPr="001015D2">
        <w:rPr>
          <w:bCs/>
          <w:color w:val="000000" w:themeColor="text1"/>
        </w:rPr>
        <w:t xml:space="preserve">  </w:t>
      </w:r>
      <w:r w:rsidR="000F5C00" w:rsidRPr="001015D2">
        <w:rPr>
          <w:bCs/>
          <w:color w:val="000000" w:themeColor="text1"/>
        </w:rPr>
        <w:tab/>
      </w:r>
      <w:r w:rsidR="000F5C00">
        <w:rPr>
          <w:bCs/>
          <w:color w:val="000000" w:themeColor="text1"/>
        </w:rPr>
        <w:tab/>
      </w:r>
      <w:r w:rsidR="000F5C00">
        <w:rPr>
          <w:bCs/>
          <w:color w:val="000000" w:themeColor="text1"/>
        </w:rPr>
        <w:tab/>
      </w:r>
      <w:r w:rsidR="000F5C00">
        <w:rPr>
          <w:bCs/>
          <w:color w:val="000000" w:themeColor="text1"/>
        </w:rPr>
        <w:tab/>
      </w:r>
      <w:r w:rsidR="000F5C00" w:rsidRPr="001015D2">
        <w:rPr>
          <w:bCs/>
          <w:color w:val="000000" w:themeColor="text1"/>
        </w:rPr>
        <w:tab/>
        <w:t xml:space="preserve"> </w:t>
      </w:r>
      <w:r w:rsidR="00284521">
        <w:rPr>
          <w:bCs/>
          <w:color w:val="000000" w:themeColor="text1"/>
        </w:rPr>
        <w:t xml:space="preserve">   </w:t>
      </w:r>
      <w:r w:rsidR="000F5C00" w:rsidRPr="001015D2">
        <w:rPr>
          <w:bCs/>
          <w:color w:val="000000" w:themeColor="text1"/>
        </w:rPr>
        <w:t xml:space="preserve">               </w:t>
      </w:r>
      <w:r>
        <w:rPr>
          <w:bCs/>
          <w:color w:val="000000" w:themeColor="text1"/>
        </w:rPr>
        <w:t xml:space="preserve">                                    Feliksas Dobrovolskis</w:t>
      </w:r>
    </w:p>
    <w:sectPr w:rsidR="001F4374" w:rsidSect="00195403">
      <w:headerReference w:type="even" r:id="rId11"/>
      <w:headerReference w:type="default" r:id="rId12"/>
      <w:headerReference w:type="first" r:id="rId13"/>
      <w:pgSz w:w="11907" w:h="16840" w:code="9"/>
      <w:pgMar w:top="1134" w:right="567" w:bottom="993" w:left="1560" w:header="709" w:footer="567"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F1675" w14:textId="77777777" w:rsidR="00A61B37" w:rsidRDefault="00A61B37">
      <w:r>
        <w:separator/>
      </w:r>
    </w:p>
  </w:endnote>
  <w:endnote w:type="continuationSeparator" w:id="0">
    <w:p w14:paraId="53FB05CB" w14:textId="77777777" w:rsidR="00A61B37" w:rsidRDefault="00A6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NSimSun">
    <w:panose1 w:val="02010609030101010101"/>
    <w:charset w:val="86"/>
    <w:family w:val="modern"/>
    <w:pitch w:val="fixed"/>
    <w:sig w:usb0="00000283" w:usb1="288F0000" w:usb2="00000016" w:usb3="00000000" w:csb0="00040001"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D66E6" w14:textId="77777777" w:rsidR="00A61B37" w:rsidRDefault="00A61B37">
      <w:r>
        <w:separator/>
      </w:r>
    </w:p>
  </w:footnote>
  <w:footnote w:type="continuationSeparator" w:id="0">
    <w:p w14:paraId="6718D39C" w14:textId="77777777" w:rsidR="00A61B37" w:rsidRDefault="00A61B37">
      <w:r>
        <w:continuationSeparator/>
      </w:r>
    </w:p>
  </w:footnote>
  <w:footnote w:id="1">
    <w:p w14:paraId="48CAE72B" w14:textId="4E239440" w:rsidR="00F8321F" w:rsidRPr="00E07A6D" w:rsidRDefault="00F8321F" w:rsidP="00F8321F">
      <w:pPr>
        <w:pStyle w:val="FootnoteText"/>
        <w:rPr>
          <w:b/>
          <w:bCs/>
        </w:rPr>
      </w:pPr>
      <w:r w:rsidRPr="00E07A6D">
        <w:rPr>
          <w:rStyle w:val="FootnoteReference"/>
          <w:bCs/>
        </w:rPr>
        <w:footnoteRef/>
      </w:r>
      <w:r w:rsidRPr="00E07A6D">
        <w:rPr>
          <w:bCs/>
        </w:rPr>
        <w:t xml:space="preserve"> </w:t>
      </w:r>
      <w:r w:rsidR="00E11348" w:rsidRPr="00E11348">
        <w:t>https://ltginfra.lt/documents/12778/9245331/GP%C4%AE%20skelbimo+forma+2021-2022+2022.02.02+1.pdf/2ca4d4f9-a935-4c46-97b1-43cb06bab12c</w:t>
      </w:r>
      <w:r w:rsidRPr="00F8321F">
        <w:rPr>
          <w:bCs/>
        </w:rPr>
        <w:t xml:space="preserve"> </w:t>
      </w:r>
    </w:p>
  </w:footnote>
  <w:footnote w:id="2">
    <w:p w14:paraId="7B23C32F" w14:textId="77777777" w:rsidR="00F8321F" w:rsidRPr="00675FD3" w:rsidRDefault="00F8321F" w:rsidP="000A6102">
      <w:pPr>
        <w:pStyle w:val="FootnoteText"/>
        <w:jc w:val="both"/>
        <w:rPr>
          <w:b/>
          <w:bCs/>
        </w:rPr>
      </w:pPr>
      <w:r w:rsidRPr="00675FD3">
        <w:rPr>
          <w:rStyle w:val="FootnoteReference"/>
          <w:bCs/>
        </w:rPr>
        <w:footnoteRef/>
      </w:r>
      <w:r w:rsidRPr="00675FD3">
        <w:rPr>
          <w:bCs/>
        </w:rPr>
        <w:t xml:space="preserve"> </w:t>
      </w:r>
      <w:r>
        <w:rPr>
          <w:bCs/>
          <w:lang w:val="en-US"/>
        </w:rPr>
        <w:t>I</w:t>
      </w:r>
      <w:r>
        <w:rPr>
          <w:bCs/>
        </w:rPr>
        <w:t>ki 2020 m. balandžio 1 d. šios paslaugos pavadinimas buvo „Naudojimasis geležinkelių paslaugų įrenginiui priskirtais privažiuojamaisiais ar jungiamaisiais geležinkelio keliais“.</w:t>
      </w:r>
    </w:p>
  </w:footnote>
  <w:footnote w:id="3">
    <w:p w14:paraId="44B54711" w14:textId="56F4A30C" w:rsidR="00F8321F" w:rsidRPr="00BF0AF4" w:rsidRDefault="00F8321F" w:rsidP="00F8321F">
      <w:pPr>
        <w:pStyle w:val="FootnoteText"/>
        <w:jc w:val="both"/>
        <w:rPr>
          <w:b/>
          <w:bCs/>
        </w:rPr>
      </w:pPr>
      <w:r w:rsidRPr="00BF0AF4">
        <w:rPr>
          <w:rStyle w:val="FootnoteReference"/>
          <w:bCs/>
        </w:rPr>
        <w:footnoteRef/>
      </w:r>
      <w:r w:rsidRPr="00BF0AF4">
        <w:rPr>
          <w:bCs/>
        </w:rPr>
        <w:t xml:space="preserve"> 2021 m. lapkričio 23 d. atnaujintame 2020 m. gruodžio 17 d. </w:t>
      </w:r>
      <w:r w:rsidR="00C8451A">
        <w:rPr>
          <w:bCs/>
        </w:rPr>
        <w:t>Infros</w:t>
      </w:r>
      <w:r w:rsidR="00C8451A" w:rsidRPr="00BF0AF4">
        <w:rPr>
          <w:bCs/>
        </w:rPr>
        <w:t xml:space="preserve"> </w:t>
      </w:r>
      <w:r w:rsidRPr="00BF0AF4">
        <w:rPr>
          <w:bCs/>
        </w:rPr>
        <w:t>generalinio direktoriaus įsakymu Nr. ĮS(LGI-598 patvirtintame „Geležinkelių paslaugų įrenginių aprašas (2021-2022 m.) Kaupiamieji kelynai, traukinių formavimo ir manevravimo įrenginiai“ šios paslaugos pavadinimas pakeistas į „Naudojimasis geležinkelių riedmenų formavimo ir manevravimo įrenginiais“.</w:t>
      </w:r>
    </w:p>
  </w:footnote>
  <w:footnote w:id="4">
    <w:p w14:paraId="79742373" w14:textId="77777777" w:rsidR="00F8321F" w:rsidRPr="00E07A6D" w:rsidRDefault="00F8321F" w:rsidP="00F8321F">
      <w:pPr>
        <w:pStyle w:val="FootnoteText"/>
        <w:rPr>
          <w:b/>
          <w:bCs/>
        </w:rPr>
      </w:pPr>
      <w:r w:rsidRPr="00E07A6D">
        <w:rPr>
          <w:rStyle w:val="FootnoteReference"/>
          <w:bCs/>
        </w:rPr>
        <w:footnoteRef/>
      </w:r>
      <w:r w:rsidRPr="00E07A6D">
        <w:rPr>
          <w:bCs/>
        </w:rPr>
        <w:t xml:space="preserve"> https://ltginfra.lt/documents/12778/9245331/GP%C4%AE%20skelbimo+forma+2020-2021_2021.04.01.pdf/c7facd08-77cf-4eb9-b718-98c59c070e8f</w:t>
      </w:r>
    </w:p>
  </w:footnote>
  <w:footnote w:id="5">
    <w:p w14:paraId="7780EF88" w14:textId="77777777" w:rsidR="00F8321F" w:rsidRPr="00675FD3" w:rsidRDefault="00F8321F" w:rsidP="00F8321F">
      <w:pPr>
        <w:pStyle w:val="FootnoteText"/>
        <w:jc w:val="both"/>
        <w:rPr>
          <w:b/>
          <w:bCs/>
        </w:rPr>
      </w:pPr>
      <w:r w:rsidRPr="00675FD3">
        <w:rPr>
          <w:rStyle w:val="FootnoteReference"/>
          <w:bCs/>
        </w:rPr>
        <w:footnoteRef/>
      </w:r>
      <w:r w:rsidRPr="00675FD3">
        <w:rPr>
          <w:bCs/>
        </w:rPr>
        <w:t xml:space="preserve"> </w:t>
      </w:r>
      <w:r>
        <w:rPr>
          <w:bCs/>
        </w:rPr>
        <w:t>Išlaidos suprantamos, kaip jos apibrėžtos</w:t>
      </w:r>
      <w:r w:rsidRPr="00566BA6">
        <w:rPr>
          <w:bCs/>
        </w:rPr>
        <w:t xml:space="preserve"> </w:t>
      </w:r>
      <w:r>
        <w:rPr>
          <w:bCs/>
        </w:rPr>
        <w:t>Geležinkelių transporto veiklų apskaitos atskyrimo apraše,</w:t>
      </w:r>
      <w:r w:rsidRPr="00566BA6">
        <w:rPr>
          <w:bCs/>
        </w:rPr>
        <w:t xml:space="preserve"> </w:t>
      </w:r>
      <w:r>
        <w:rPr>
          <w:bCs/>
        </w:rPr>
        <w:t xml:space="preserve">patvirtintame </w:t>
      </w:r>
      <w:r w:rsidRPr="00566BA6">
        <w:rPr>
          <w:bCs/>
        </w:rPr>
        <w:t xml:space="preserve">Tarnybos direktoriaus </w:t>
      </w:r>
      <w:r w:rsidRPr="00566BA6">
        <w:rPr>
          <w:bCs/>
          <w:lang w:val="en-US"/>
        </w:rPr>
        <w:t xml:space="preserve">2020 m. sausio 29 d. </w:t>
      </w:r>
      <w:r w:rsidRPr="00566BA6">
        <w:rPr>
          <w:bCs/>
        </w:rPr>
        <w:t xml:space="preserve">įsakymu Nr. </w:t>
      </w:r>
      <w:r w:rsidRPr="00566BA6">
        <w:rPr>
          <w:bCs/>
          <w:lang w:val="en-US"/>
        </w:rPr>
        <w:t xml:space="preserve">1V-139 </w:t>
      </w:r>
      <w:r w:rsidRPr="00566BA6">
        <w:rPr>
          <w:bCs/>
        </w:rPr>
        <w:t>„Dėl Geležinkelių transporto veiklų apskaitos atskyrimo tvarkos aprašo patvirtinimo“.</w:t>
      </w:r>
    </w:p>
  </w:footnote>
  <w:footnote w:id="6">
    <w:p w14:paraId="28721EE2" w14:textId="77777777" w:rsidR="00F8321F" w:rsidRPr="00BF0AF4" w:rsidRDefault="00F8321F" w:rsidP="00F8321F">
      <w:pPr>
        <w:pStyle w:val="FootnoteText"/>
        <w:jc w:val="both"/>
        <w:rPr>
          <w:b/>
          <w:bCs/>
        </w:rPr>
      </w:pPr>
      <w:r w:rsidRPr="00BF0AF4">
        <w:rPr>
          <w:rStyle w:val="FootnoteReference"/>
          <w:bCs/>
        </w:rPr>
        <w:footnoteRef/>
      </w:r>
      <w:r w:rsidRPr="00BF0AF4">
        <w:rPr>
          <w:bCs/>
        </w:rPr>
        <w:t xml:space="preserve"> Patvirtinta AB „Lietuvos geležinkeliai“ generalinio direktoriaus</w:t>
      </w:r>
      <w:r>
        <w:rPr>
          <w:bCs/>
        </w:rPr>
        <w:t xml:space="preserve"> </w:t>
      </w:r>
      <w:r w:rsidRPr="00BF0AF4">
        <w:rPr>
          <w:bCs/>
        </w:rPr>
        <w:t xml:space="preserve">2020 m. spalio 13 d. įsakymu Nr. ĮS(KORP)-163 „Dėl </w:t>
      </w:r>
      <w:r>
        <w:rPr>
          <w:bCs/>
        </w:rPr>
        <w:t>P</w:t>
      </w:r>
      <w:r w:rsidRPr="00BF0AF4">
        <w:rPr>
          <w:bCs/>
        </w:rPr>
        <w:t>rieigos prie geležinkelių paslaugų įrenginių ir šiuose įrenginiuose teikiamų paslaugų kainodaros ir informacijos apie prieigą prie geležinkelių paslaugų įrenginių ir šiuose įrenginiuose teikiamų paslaugų viešinimo metodikos patvirtinimo“</w:t>
      </w:r>
      <w:r>
        <w:rPr>
          <w:bCs/>
        </w:rPr>
        <w:t>.</w:t>
      </w:r>
      <w:r w:rsidRPr="00BF0AF4">
        <w:rPr>
          <w:bCs/>
        </w:rPr>
        <w:t xml:space="preserve">  </w:t>
      </w:r>
    </w:p>
  </w:footnote>
  <w:footnote w:id="7">
    <w:p w14:paraId="349E0592" w14:textId="1FB249E6" w:rsidR="00F8321F" w:rsidRPr="001F6132" w:rsidRDefault="00F8321F" w:rsidP="00F8321F">
      <w:pPr>
        <w:pStyle w:val="FootnoteText"/>
        <w:jc w:val="both"/>
        <w:rPr>
          <w:b/>
          <w:bCs/>
        </w:rPr>
      </w:pPr>
      <w:r w:rsidRPr="001F6132">
        <w:rPr>
          <w:rStyle w:val="FootnoteReference"/>
          <w:bCs/>
        </w:rPr>
        <w:footnoteRef/>
      </w:r>
      <w:r w:rsidRPr="001F6132">
        <w:rPr>
          <w:bCs/>
        </w:rPr>
        <w:t xml:space="preserve"> Patvirtinti Lietuvos Respublikos susisiekimo ministro 1996 m</w:t>
      </w:r>
      <w:r w:rsidR="00A939E1">
        <w:rPr>
          <w:bCs/>
        </w:rPr>
        <w:t>.</w:t>
      </w:r>
      <w:r w:rsidRPr="001F6132">
        <w:rPr>
          <w:bCs/>
        </w:rPr>
        <w:t xml:space="preserve"> rugsėjo 20 d. įsakymu Nr. 297 „Dėl Techninio geležinkelių naudojimo nuostatų patvirtinimo“. </w:t>
      </w:r>
    </w:p>
  </w:footnote>
  <w:footnote w:id="8">
    <w:p w14:paraId="6BE6BAD2" w14:textId="703B8E77" w:rsidR="001A2779" w:rsidRPr="00076D2D" w:rsidRDefault="001A2779" w:rsidP="001A2779">
      <w:pPr>
        <w:pStyle w:val="FootnoteText"/>
        <w:jc w:val="both"/>
        <w:rPr>
          <w:b/>
          <w:bCs/>
        </w:rPr>
      </w:pPr>
      <w:r w:rsidRPr="00076D2D">
        <w:rPr>
          <w:rStyle w:val="FootnoteReference"/>
          <w:bCs/>
        </w:rPr>
        <w:footnoteRef/>
      </w:r>
      <w:r w:rsidRPr="00076D2D">
        <w:rPr>
          <w:bCs/>
        </w:rPr>
        <w:t xml:space="preserve"> </w:t>
      </w:r>
      <w:r w:rsidRPr="00076D2D">
        <w:rPr>
          <w:rFonts w:eastAsia="Calibri"/>
          <w:bCs/>
        </w:rPr>
        <w:t>Patvirtinti Lietuvos Respublikos susisiekimo ministro 1997 m</w:t>
      </w:r>
      <w:r w:rsidR="002662EA">
        <w:rPr>
          <w:rFonts w:eastAsia="Calibri"/>
          <w:bCs/>
        </w:rPr>
        <w:t>.</w:t>
      </w:r>
      <w:r w:rsidRPr="00076D2D">
        <w:rPr>
          <w:rFonts w:eastAsia="Calibri"/>
          <w:bCs/>
        </w:rPr>
        <w:t xml:space="preserve"> gruodžio 30 d. įsakymu Nr. 483 „Dėl Geležinkelių transporto eismo signalizacijos taisyklių patvirtinimo“.</w:t>
      </w:r>
    </w:p>
  </w:footnote>
  <w:footnote w:id="9">
    <w:p w14:paraId="20E09086" w14:textId="6E18270C" w:rsidR="001A2779" w:rsidRPr="00076D2D" w:rsidRDefault="001A2779" w:rsidP="001A2779">
      <w:pPr>
        <w:pStyle w:val="FootnoteText"/>
        <w:jc w:val="both"/>
      </w:pPr>
      <w:r w:rsidRPr="008D23C3">
        <w:rPr>
          <w:rStyle w:val="FootnoteReference"/>
          <w:bCs/>
        </w:rPr>
        <w:footnoteRef/>
      </w:r>
      <w:r w:rsidRPr="008D23C3">
        <w:rPr>
          <w:bCs/>
        </w:rPr>
        <w:t xml:space="preserve"> Tarnyba</w:t>
      </w:r>
      <w:r w:rsidRPr="008D23C3">
        <w:t xml:space="preserve"> </w:t>
      </w:r>
      <w:r w:rsidRPr="008D23C3">
        <w:rPr>
          <w:rFonts w:eastAsiaTheme="minorHAnsi"/>
          <w:bCs/>
          <w:szCs w:val="24"/>
        </w:rPr>
        <w:t xml:space="preserve">2021 m. rugsėjo 24 d. raštu Nr. (67.15Mr)1B-3079 kreipėsi į Transachemą, 2021 m. rugsėjo </w:t>
      </w:r>
      <w:r w:rsidR="008D23C3" w:rsidRPr="008D23C3">
        <w:rPr>
          <w:rFonts w:eastAsiaTheme="minorHAnsi"/>
          <w:bCs/>
          <w:szCs w:val="24"/>
        </w:rPr>
        <w:t xml:space="preserve">24 d. </w:t>
      </w:r>
      <w:r w:rsidRPr="008D23C3">
        <w:rPr>
          <w:rFonts w:eastAsiaTheme="minorHAnsi"/>
          <w:bCs/>
          <w:szCs w:val="24"/>
        </w:rPr>
        <w:t>raštu Nr. (67.15Mr)1B-3080 – AC, 2021 m. rugsėjo 24 d. raštu Nr. (67.15Mr)1B-3077 – GG ir 2021 m. rugsėjo</w:t>
      </w:r>
      <w:r w:rsidR="008D23C3" w:rsidRPr="008D23C3">
        <w:rPr>
          <w:rFonts w:eastAsiaTheme="minorHAnsi"/>
          <w:bCs/>
          <w:szCs w:val="24"/>
        </w:rPr>
        <w:t xml:space="preserve"> 24 d.</w:t>
      </w:r>
      <w:r w:rsidRPr="008D23C3">
        <w:rPr>
          <w:rFonts w:eastAsiaTheme="minorHAnsi"/>
          <w:bCs/>
          <w:szCs w:val="24"/>
        </w:rPr>
        <w:t xml:space="preserve"> raštu Nr. (67.15Mr)1B-3078 – LTG Cargo.</w:t>
      </w:r>
    </w:p>
  </w:footnote>
  <w:footnote w:id="10">
    <w:p w14:paraId="696AD30B" w14:textId="77777777" w:rsidR="00A16C43" w:rsidRPr="00C44447" w:rsidRDefault="00A16C43" w:rsidP="00A16C43">
      <w:pPr>
        <w:pStyle w:val="FootnoteText"/>
      </w:pPr>
      <w:r w:rsidRPr="00C44447">
        <w:rPr>
          <w:rStyle w:val="FootnoteReference"/>
          <w:bCs/>
        </w:rPr>
        <w:footnoteRef/>
      </w:r>
      <w:r w:rsidRPr="00C44447">
        <w:rPr>
          <w:bCs/>
        </w:rPr>
        <w:t xml:space="preserve"> </w:t>
      </w:r>
      <w:r>
        <w:rPr>
          <w:bCs/>
        </w:rPr>
        <w:t>Kodekso redakcija galiojusi iki 2021 m. gruodžio 28 d.</w:t>
      </w:r>
    </w:p>
  </w:footnote>
  <w:footnote w:id="11">
    <w:p w14:paraId="28FE7817" w14:textId="77777777" w:rsidR="00A34AFE" w:rsidRPr="00076D2D" w:rsidRDefault="00A34AFE" w:rsidP="00A34AFE">
      <w:pPr>
        <w:pStyle w:val="FootnoteText"/>
        <w:rPr>
          <w:b/>
          <w:bCs/>
        </w:rPr>
      </w:pPr>
      <w:r w:rsidRPr="00612A43">
        <w:rPr>
          <w:rStyle w:val="FootnoteReference"/>
          <w:bCs/>
        </w:rPr>
        <w:footnoteRef/>
      </w:r>
      <w:r w:rsidRPr="00612A43">
        <w:rPr>
          <w:bCs/>
        </w:rPr>
        <w:t xml:space="preserve"> Kodekso 17 straipsnio 1 dal</w:t>
      </w:r>
      <w:r>
        <w:rPr>
          <w:bCs/>
        </w:rPr>
        <w:t xml:space="preserve">is, </w:t>
      </w:r>
      <w:r w:rsidRPr="00612A43">
        <w:rPr>
          <w:bCs/>
        </w:rPr>
        <w:t>redakcij</w:t>
      </w:r>
      <w:r>
        <w:rPr>
          <w:bCs/>
        </w:rPr>
        <w:t>a</w:t>
      </w:r>
      <w:r w:rsidRPr="00612A43">
        <w:rPr>
          <w:bCs/>
        </w:rPr>
        <w:t xml:space="preserve"> galiojusi iki 202</w:t>
      </w:r>
      <w:r>
        <w:rPr>
          <w:bCs/>
        </w:rPr>
        <w:t>1</w:t>
      </w:r>
      <w:r w:rsidRPr="00612A43">
        <w:rPr>
          <w:bCs/>
        </w:rPr>
        <w:t xml:space="preserve"> m</w:t>
      </w:r>
      <w:r>
        <w:rPr>
          <w:bCs/>
        </w:rPr>
        <w:t>.</w:t>
      </w:r>
      <w:r w:rsidRPr="00612A43">
        <w:rPr>
          <w:bCs/>
        </w:rPr>
        <w:t xml:space="preserve"> </w:t>
      </w:r>
      <w:r>
        <w:rPr>
          <w:bCs/>
        </w:rPr>
        <w:t>gruodžio</w:t>
      </w:r>
      <w:r w:rsidRPr="00612A43">
        <w:rPr>
          <w:bCs/>
        </w:rPr>
        <w:t xml:space="preserve"> </w:t>
      </w:r>
      <w:r>
        <w:rPr>
          <w:bCs/>
        </w:rPr>
        <w:t>3</w:t>
      </w:r>
      <w:r w:rsidRPr="00612A43">
        <w:rPr>
          <w:bCs/>
        </w:rPr>
        <w:t xml:space="preserve">1 d. </w:t>
      </w:r>
    </w:p>
  </w:footnote>
  <w:footnote w:id="12">
    <w:p w14:paraId="738668E3" w14:textId="1E753CAC" w:rsidR="00815932" w:rsidRPr="00612A43" w:rsidRDefault="00815932" w:rsidP="00815932">
      <w:pPr>
        <w:pStyle w:val="FootnoteText"/>
        <w:jc w:val="both"/>
        <w:rPr>
          <w:b/>
          <w:bCs/>
        </w:rPr>
      </w:pPr>
      <w:r w:rsidRPr="00612A43">
        <w:rPr>
          <w:rStyle w:val="FootnoteReference"/>
          <w:bCs/>
        </w:rPr>
        <w:footnoteRef/>
      </w:r>
      <w:r w:rsidRPr="00612A43">
        <w:rPr>
          <w:bCs/>
        </w:rPr>
        <w:t xml:space="preserve"> Patvirtintas </w:t>
      </w:r>
      <w:r w:rsidR="00E90186">
        <w:rPr>
          <w:bCs/>
        </w:rPr>
        <w:t>Infros</w:t>
      </w:r>
      <w:r w:rsidRPr="00612A43">
        <w:rPr>
          <w:bCs/>
        </w:rPr>
        <w:t xml:space="preserve"> generalinio direktoriaus</w:t>
      </w:r>
      <w:r>
        <w:rPr>
          <w:bCs/>
        </w:rPr>
        <w:t xml:space="preserve"> </w:t>
      </w:r>
      <w:r w:rsidRPr="00612A43">
        <w:rPr>
          <w:bCs/>
        </w:rPr>
        <w:t>2020 m. gruodžio 17 d.  įsakymu Nr. ĮS(LGI)-598</w:t>
      </w:r>
      <w:r>
        <w:rPr>
          <w:bCs/>
        </w:rPr>
        <w:t>,</w:t>
      </w:r>
      <w:r w:rsidRPr="00612A43">
        <w:rPr>
          <w:bCs/>
        </w:rPr>
        <w:t xml:space="preserve"> su vėlesniais jo pakeitimais</w:t>
      </w:r>
      <w:r>
        <w:rPr>
          <w:bCs/>
        </w:rPr>
        <w:t xml:space="preserve">: </w:t>
      </w:r>
      <w:hyperlink r:id="rId1" w:history="1">
        <w:r w:rsidRPr="005F77C5">
          <w:rPr>
            <w:rStyle w:val="Hyperlink"/>
            <w:bCs/>
            <w:color w:val="auto"/>
            <w:u w:val="none"/>
          </w:rPr>
          <w:t>https://ltginfra.lt/documents/12778/11491969/Kaupiamieji_kelynai_traukiniu_formavimo_manevravimo_irenginiai_GPI_aprasas_2021_11_23.pdf/eeb21c9b-77f5-4d7a-babf-4cdfaffefda5</w:t>
        </w:r>
      </w:hyperlink>
      <w:r w:rsidRPr="005F77C5">
        <w:rPr>
          <w:bCs/>
        </w:rPr>
        <w:t xml:space="preserve"> </w:t>
      </w:r>
    </w:p>
  </w:footnote>
  <w:footnote w:id="13">
    <w:p w14:paraId="5410DAC1" w14:textId="77777777" w:rsidR="00A045B3" w:rsidRPr="00076D2D" w:rsidRDefault="00A045B3" w:rsidP="00A045B3">
      <w:pPr>
        <w:pStyle w:val="FootnoteText"/>
        <w:jc w:val="both"/>
        <w:rPr>
          <w:b/>
          <w:bCs/>
        </w:rPr>
      </w:pPr>
      <w:r w:rsidRPr="00076D2D">
        <w:rPr>
          <w:rStyle w:val="FootnoteReference"/>
          <w:bCs/>
        </w:rPr>
        <w:footnoteRef/>
      </w:r>
      <w:r w:rsidRPr="00076D2D">
        <w:rPr>
          <w:bCs/>
        </w:rPr>
        <w:t xml:space="preserve"> Patvirtintos Lietuvos Respublikos susisekimo ministro 2004 m. gegužės 5 d.  įsakymu Nr. 3-25/D1-249 „Dėl </w:t>
      </w:r>
      <w:r>
        <w:rPr>
          <w:bCs/>
        </w:rPr>
        <w:t>G</w:t>
      </w:r>
      <w:r w:rsidRPr="00076D2D">
        <w:rPr>
          <w:bCs/>
        </w:rPr>
        <w:t>eležinkelio stočių projektavimo taisyklių patvirtinimo“</w:t>
      </w:r>
      <w:r>
        <w:rPr>
          <w:bCs/>
        </w:rPr>
        <w:t>.</w:t>
      </w:r>
    </w:p>
  </w:footnote>
  <w:footnote w:id="14">
    <w:p w14:paraId="0B291DB9" w14:textId="77777777" w:rsidR="00CD3CA4" w:rsidRPr="00076D2D" w:rsidRDefault="00CD3CA4" w:rsidP="00CD3CA4">
      <w:pPr>
        <w:pStyle w:val="FootnoteText"/>
      </w:pPr>
      <w:r w:rsidRPr="00076D2D">
        <w:rPr>
          <w:rStyle w:val="FootnoteReference"/>
          <w:bCs/>
        </w:rPr>
        <w:footnoteRef/>
      </w:r>
      <w:r>
        <w:t xml:space="preserve"> </w:t>
      </w:r>
      <w:r>
        <w:rPr>
          <w:bCs/>
        </w:rPr>
        <w:t>Kodekso redakcija galiojusi iki 2021 m. gruodžio 31 d.</w:t>
      </w:r>
    </w:p>
  </w:footnote>
  <w:footnote w:id="15">
    <w:p w14:paraId="253DA008" w14:textId="5F55A1DF" w:rsidR="006247D0" w:rsidRDefault="006247D0">
      <w:pPr>
        <w:pStyle w:val="FootnoteText"/>
      </w:pPr>
      <w:r>
        <w:rPr>
          <w:rStyle w:val="FootnoteReference"/>
        </w:rPr>
        <w:footnoteRef/>
      </w:r>
      <w:r>
        <w:t xml:space="preserve"> </w:t>
      </w:r>
      <w:r w:rsidRPr="006247D0">
        <w:t>https://www.e-tar.lt/portal/legalAct.html?documentId=ac3feb3067e311eca9ac839120d251c4</w:t>
      </w:r>
    </w:p>
  </w:footnote>
  <w:footnote w:id="16">
    <w:p w14:paraId="59420DD8" w14:textId="12A551BB" w:rsidR="009D3172" w:rsidRPr="00076D2D" w:rsidRDefault="009D3172" w:rsidP="009D3172">
      <w:pPr>
        <w:pStyle w:val="FootnoteText"/>
        <w:jc w:val="both"/>
        <w:rPr>
          <w:b/>
          <w:bCs/>
        </w:rPr>
      </w:pPr>
      <w:r w:rsidRPr="00076D2D">
        <w:rPr>
          <w:rStyle w:val="FootnoteReference"/>
          <w:bCs/>
        </w:rPr>
        <w:footnoteRef/>
      </w:r>
      <w:r w:rsidRPr="00076D2D">
        <w:rPr>
          <w:bCs/>
        </w:rPr>
        <w:t xml:space="preserve"> </w:t>
      </w:r>
      <w:r w:rsidRPr="00076D2D">
        <w:rPr>
          <w:bCs/>
          <w:lang w:val="en-US"/>
        </w:rPr>
        <w:t xml:space="preserve">Kaip nurodyta </w:t>
      </w:r>
      <w:r w:rsidR="003D0054">
        <w:rPr>
          <w:bCs/>
        </w:rPr>
        <w:t>Infros</w:t>
      </w:r>
      <w:r w:rsidRPr="00076D2D">
        <w:rPr>
          <w:bCs/>
        </w:rPr>
        <w:t xml:space="preserve"> </w:t>
      </w:r>
      <w:r>
        <w:rPr>
          <w:bCs/>
        </w:rPr>
        <w:t>T</w:t>
      </w:r>
      <w:r w:rsidRPr="00076D2D">
        <w:rPr>
          <w:bCs/>
        </w:rPr>
        <w:t xml:space="preserve">arnybai pateiktame </w:t>
      </w:r>
      <w:r w:rsidRPr="00076D2D">
        <w:rPr>
          <w:bCs/>
          <w:lang w:val="en-US"/>
        </w:rPr>
        <w:t>2021 m. rugpj</w:t>
      </w:r>
      <w:r w:rsidRPr="00076D2D">
        <w:rPr>
          <w:bCs/>
        </w:rPr>
        <w:t>ūčio 16 d. el. laiške „</w:t>
      </w:r>
      <w:r>
        <w:rPr>
          <w:bCs/>
        </w:rPr>
        <w:t>I</w:t>
      </w:r>
      <w:r w:rsidRPr="00076D2D">
        <w:rPr>
          <w:bCs/>
        </w:rPr>
        <w:t>nformacija dėl GPĮ paslaugų“ ir patvirtinta Rašte Nr. SD(LGI)4725</w:t>
      </w:r>
      <w:r>
        <w:rPr>
          <w:bCs/>
        </w:rPr>
        <w:t>.</w:t>
      </w:r>
    </w:p>
  </w:footnote>
  <w:footnote w:id="17">
    <w:p w14:paraId="19D1C536" w14:textId="77777777" w:rsidR="0086342A" w:rsidRPr="00076D2D" w:rsidRDefault="0086342A" w:rsidP="0086342A">
      <w:pPr>
        <w:pStyle w:val="FootnoteText"/>
        <w:jc w:val="both"/>
        <w:rPr>
          <w:b/>
          <w:bCs/>
        </w:rPr>
      </w:pPr>
      <w:r w:rsidRPr="00076D2D">
        <w:rPr>
          <w:rStyle w:val="FootnoteReference"/>
          <w:bCs/>
        </w:rPr>
        <w:footnoteRef/>
      </w:r>
      <w:r w:rsidRPr="00076D2D">
        <w:rPr>
          <w:bCs/>
        </w:rPr>
        <w:t xml:space="preserve"> Pateiktas Tarnybai 2021 m. rugpjūčio 24 d.  el. laišk</w:t>
      </w:r>
      <w:r>
        <w:rPr>
          <w:bCs/>
        </w:rPr>
        <w:t>u</w:t>
      </w:r>
      <w:r w:rsidRPr="00076D2D">
        <w:rPr>
          <w:bCs/>
        </w:rPr>
        <w:t xml:space="preserve"> „</w:t>
      </w:r>
      <w:r>
        <w:rPr>
          <w:bCs/>
        </w:rPr>
        <w:t>I</w:t>
      </w:r>
      <w:r w:rsidRPr="00076D2D">
        <w:rPr>
          <w:bCs/>
        </w:rPr>
        <w:t xml:space="preserve">nformacija dėl GPĮ paslaugų“, kuris patvirtintas Raštu Nr. </w:t>
      </w:r>
      <w:r w:rsidRPr="00ED3DA5">
        <w:rPr>
          <w:bCs/>
        </w:rPr>
        <w:t>SD(LGI)4725</w:t>
      </w:r>
      <w:r>
        <w:rPr>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E9CCA" w14:textId="77777777" w:rsidR="00D84C96" w:rsidRDefault="006C4F08">
    <w:pPr>
      <w:pStyle w:val="Header"/>
      <w:jc w:val="center"/>
    </w:pPr>
    <w:r>
      <w:fldChar w:fldCharType="begin"/>
    </w:r>
    <w:r w:rsidR="00D84C96">
      <w:instrText>PAGE   \* MERGEFORMAT</w:instrText>
    </w:r>
    <w:r>
      <w:fldChar w:fldCharType="separate"/>
    </w:r>
    <w:r w:rsidR="00D84C96">
      <w:rPr>
        <w:noProof/>
      </w:rPr>
      <w:t>2</w:t>
    </w:r>
    <w:r>
      <w:fldChar w:fldCharType="end"/>
    </w:r>
  </w:p>
  <w:p w14:paraId="02319D5F" w14:textId="77777777" w:rsidR="00D84C96" w:rsidRDefault="00D84C9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80C8B" w14:textId="77777777" w:rsidR="00D84C96" w:rsidRDefault="006C4F08">
    <w:pPr>
      <w:pStyle w:val="Header"/>
      <w:jc w:val="center"/>
    </w:pPr>
    <w:r>
      <w:fldChar w:fldCharType="begin"/>
    </w:r>
    <w:r w:rsidR="00D84C96">
      <w:instrText>PAGE   \* MERGEFORMAT</w:instrText>
    </w:r>
    <w:r>
      <w:fldChar w:fldCharType="separate"/>
    </w:r>
    <w:r w:rsidR="00036A11">
      <w:rPr>
        <w:noProof/>
      </w:rPr>
      <w:t>2</w:t>
    </w:r>
    <w:r>
      <w:fldChar w:fldCharType="end"/>
    </w:r>
  </w:p>
  <w:p w14:paraId="117616A0" w14:textId="77777777" w:rsidR="00D84C96" w:rsidRDefault="00D84C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CDE56" w14:textId="70384FC6" w:rsidR="00D84C96" w:rsidRPr="00D638CF" w:rsidRDefault="00195403" w:rsidP="00195403">
    <w:pPr>
      <w:pStyle w:val="Header"/>
      <w:jc w:val="center"/>
      <w:rPr>
        <w:b/>
        <w:bCs/>
        <w:i/>
      </w:rPr>
    </w:pPr>
    <w:r>
      <w:fldChar w:fldCharType="begin"/>
    </w:r>
    <w:r>
      <w:instrText xml:space="preserve"> INCLUDEPICTURE  "cid:image001.png@01D82EF3.8B143E80" \* MERGEFORMATINET </w:instrText>
    </w:r>
    <w:r>
      <w:fldChar w:fldCharType="separate"/>
    </w:r>
    <w:r w:rsidR="009D7582">
      <w:fldChar w:fldCharType="begin"/>
    </w:r>
    <w:r w:rsidR="009D7582">
      <w:instrText xml:space="preserve"> INCLUDEPICTURE  "cid:image001.png@01D82EF3.8B143E80" \* MERGEFORMATINET </w:instrText>
    </w:r>
    <w:r w:rsidR="009D7582">
      <w:fldChar w:fldCharType="separate"/>
    </w:r>
    <w:r w:rsidR="00661ACF">
      <w:fldChar w:fldCharType="begin"/>
    </w:r>
    <w:r w:rsidR="00661ACF">
      <w:instrText xml:space="preserve"> INCLUDEPICTURE  "cid:image001.png@01D82EF3.8B143E80" \* MERGEFORMATINET </w:instrText>
    </w:r>
    <w:r w:rsidR="00661ACF">
      <w:fldChar w:fldCharType="separate"/>
    </w:r>
    <w:r w:rsidR="00DB6CD0">
      <w:fldChar w:fldCharType="begin"/>
    </w:r>
    <w:r w:rsidR="00DB6CD0">
      <w:instrText xml:space="preserve"> INCLUDEPICTURE  "cid:image001.png@01D82EF3.8B143E80" \* MERGEFORMATINET </w:instrText>
    </w:r>
    <w:r w:rsidR="00DB6CD0">
      <w:fldChar w:fldCharType="separate"/>
    </w:r>
    <w:r w:rsidR="00404DFE">
      <w:fldChar w:fldCharType="begin"/>
    </w:r>
    <w:r w:rsidR="00404DFE">
      <w:instrText xml:space="preserve"> INCLUDEPICTURE  "cid:image001.png@01D82EF3.8B143E80" \* MERGEFORMATINET </w:instrText>
    </w:r>
    <w:r w:rsidR="00404DFE">
      <w:fldChar w:fldCharType="separate"/>
    </w:r>
    <w:r w:rsidR="00631F97">
      <w:fldChar w:fldCharType="begin"/>
    </w:r>
    <w:r w:rsidR="00631F97">
      <w:instrText xml:space="preserve"> INCLUDEPICTURE  "cid:image001.png@01D82EF3.8B143E80" \* MERGEFORMATINET </w:instrText>
    </w:r>
    <w:r w:rsidR="00631F97">
      <w:fldChar w:fldCharType="separate"/>
    </w:r>
    <w:r w:rsidR="006673F5">
      <w:fldChar w:fldCharType="begin"/>
    </w:r>
    <w:r w:rsidR="006673F5">
      <w:instrText xml:space="preserve"> INCLUDEPICTURE  "cid:image001.png@01D82EF3.8B143E80" \* MERGEFORMATINET </w:instrText>
    </w:r>
    <w:r w:rsidR="006673F5">
      <w:fldChar w:fldCharType="separate"/>
    </w:r>
    <w:r w:rsidR="000744ED">
      <w:fldChar w:fldCharType="begin"/>
    </w:r>
    <w:r w:rsidR="000744ED">
      <w:instrText xml:space="preserve"> INCLUDEPICTURE  "cid:image001.png@01D82EF3.8B143E80" \* MERGEFORMATINET </w:instrText>
    </w:r>
    <w:r w:rsidR="000744ED">
      <w:fldChar w:fldCharType="separate"/>
    </w:r>
    <w:r w:rsidR="00DC5E7C">
      <w:fldChar w:fldCharType="begin"/>
    </w:r>
    <w:r w:rsidR="00DC5E7C">
      <w:instrText xml:space="preserve"> INCLUDEPICTURE  "cid:image001.png@01D82EF3.8B143E80" \* MERGEFORMATINET </w:instrText>
    </w:r>
    <w:r w:rsidR="00DC5E7C">
      <w:fldChar w:fldCharType="separate"/>
    </w:r>
    <w:r w:rsidR="00A4472F">
      <w:fldChar w:fldCharType="begin"/>
    </w:r>
    <w:r w:rsidR="00A4472F">
      <w:instrText xml:space="preserve"> INCLUDEPICTURE  "cid:image001.png@01D82EF3.8B143E80" \* MERGEFORMATINET </w:instrText>
    </w:r>
    <w:r w:rsidR="00A4472F">
      <w:fldChar w:fldCharType="separate"/>
    </w:r>
    <w:r w:rsidR="00FD3CD9">
      <w:fldChar w:fldCharType="begin"/>
    </w:r>
    <w:r w:rsidR="00FD3CD9">
      <w:instrText xml:space="preserve"> INCLUDEPICTURE  "cid:image001.png@01D82EF3.8B143E80" \* MERGEFORMATINET </w:instrText>
    </w:r>
    <w:r w:rsidR="00FD3CD9">
      <w:fldChar w:fldCharType="separate"/>
    </w:r>
    <w:r w:rsidR="00D572E3">
      <w:fldChar w:fldCharType="begin"/>
    </w:r>
    <w:r w:rsidR="00D572E3">
      <w:instrText xml:space="preserve"> INCLUDEPICTURE  "cid:image001.png@01D82EF3.8B143E80" \* MERGEFORMATINET </w:instrText>
    </w:r>
    <w:r w:rsidR="00D572E3">
      <w:fldChar w:fldCharType="separate"/>
    </w:r>
    <w:r w:rsidR="00AE6F77">
      <w:fldChar w:fldCharType="begin"/>
    </w:r>
    <w:r w:rsidR="00AE6F77">
      <w:instrText xml:space="preserve"> INCLUDEPICTURE  "cid:image001.png@01D82EF3.8B143E80" \* MERGEFORMATINET </w:instrText>
    </w:r>
    <w:r w:rsidR="00AE6F77">
      <w:fldChar w:fldCharType="separate"/>
    </w:r>
    <w:r w:rsidR="00737A5D">
      <w:fldChar w:fldCharType="begin"/>
    </w:r>
    <w:r w:rsidR="00737A5D">
      <w:instrText xml:space="preserve"> INCLUDEPICTURE  "cid:image001.png@01D82EF3.8B143E80" \* MERGEFORMATINET </w:instrText>
    </w:r>
    <w:r w:rsidR="00737A5D">
      <w:fldChar w:fldCharType="separate"/>
    </w:r>
    <w:r w:rsidR="001635BD">
      <w:fldChar w:fldCharType="begin"/>
    </w:r>
    <w:r w:rsidR="001635BD">
      <w:instrText xml:space="preserve"> INCLUDEPICTURE  "cid:image001.png@01D82EF3.8B143E80" \* MERGEFORMATINET </w:instrText>
    </w:r>
    <w:r w:rsidR="001635BD">
      <w:fldChar w:fldCharType="separate"/>
    </w:r>
    <w:r w:rsidR="00E43106">
      <w:fldChar w:fldCharType="begin"/>
    </w:r>
    <w:r w:rsidR="00E43106">
      <w:instrText xml:space="preserve"> INCLUDEPICTURE  "cid:image001.png@01D82EF3.8B143E80" \* MERGEFORMATINET </w:instrText>
    </w:r>
    <w:r w:rsidR="00E43106">
      <w:fldChar w:fldCharType="separate"/>
    </w:r>
    <w:r w:rsidR="001D18CE">
      <w:fldChar w:fldCharType="begin"/>
    </w:r>
    <w:r w:rsidR="001D18CE">
      <w:instrText xml:space="preserve"> INCLUDEPICTURE  "cid:image001.png@01D82EF3.8B143E80" \* MERGEFORMATINET </w:instrText>
    </w:r>
    <w:r w:rsidR="001D18CE">
      <w:fldChar w:fldCharType="separate"/>
    </w:r>
    <w:r w:rsidR="006803ED">
      <w:fldChar w:fldCharType="begin"/>
    </w:r>
    <w:r w:rsidR="006803ED">
      <w:instrText xml:space="preserve"> INCLUDEPICTURE  "cid:image001.png@01D82EF3.8B143E80" \* MERGEFORMATINET </w:instrText>
    </w:r>
    <w:r w:rsidR="006803ED">
      <w:fldChar w:fldCharType="separate"/>
    </w:r>
    <w:r w:rsidR="0042450C">
      <w:fldChar w:fldCharType="begin"/>
    </w:r>
    <w:r w:rsidR="0042450C">
      <w:instrText xml:space="preserve"> INCLUDEPICTURE  "cid:image001.png@01D82EF3.8B143E80" \* MERGEFORMATINET </w:instrText>
    </w:r>
    <w:r w:rsidR="0042450C">
      <w:fldChar w:fldCharType="separate"/>
    </w:r>
    <w:r w:rsidR="00864474">
      <w:fldChar w:fldCharType="begin"/>
    </w:r>
    <w:r w:rsidR="00864474">
      <w:instrText xml:space="preserve"> INCLUDEPICTURE  "cid:image001.png@01D82EF3.8B143E80" \* MERGEFORMATINET </w:instrText>
    </w:r>
    <w:r w:rsidR="00864474">
      <w:fldChar w:fldCharType="separate"/>
    </w:r>
    <w:r w:rsidR="001A7CFA">
      <w:fldChar w:fldCharType="begin"/>
    </w:r>
    <w:r w:rsidR="001A7CFA">
      <w:instrText xml:space="preserve"> INCLUDEPICTURE  "cid:image001.png@01D82EF3.8B143E80" \* MERGEFORMATINET </w:instrText>
    </w:r>
    <w:r w:rsidR="001A7CFA">
      <w:fldChar w:fldCharType="separate"/>
    </w:r>
    <w:r w:rsidR="005C5A2B">
      <w:fldChar w:fldCharType="begin"/>
    </w:r>
    <w:r w:rsidR="005C5A2B">
      <w:instrText xml:space="preserve"> INCLUDEPICTURE  "cid:image001.png@01D82EF3.8B143E80" \* MERGEFORMATINET </w:instrText>
    </w:r>
    <w:r w:rsidR="005C5A2B">
      <w:fldChar w:fldCharType="separate"/>
    </w:r>
    <w:r w:rsidR="00A61B37">
      <w:fldChar w:fldCharType="begin"/>
    </w:r>
    <w:r w:rsidR="00A61B37">
      <w:instrText xml:space="preserve"> </w:instrText>
    </w:r>
    <w:r w:rsidR="00A61B37">
      <w:instrText>INCLUDEPICTURE  "cid:image001.png@01D82EF3.8B143E80" \* MERGEFORMATINET</w:instrText>
    </w:r>
    <w:r w:rsidR="00A61B37">
      <w:instrText xml:space="preserve"> </w:instrText>
    </w:r>
    <w:r w:rsidR="00A61B37">
      <w:fldChar w:fldCharType="separate"/>
    </w:r>
    <w:r w:rsidR="00C109C3">
      <w:pict w14:anchorId="4BEE5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001" style="width:43.2pt;height:43.8pt;mso-position-horizontal:absolute">
          <v:imagedata r:id="rId1" r:href="rId2"/>
        </v:shape>
      </w:pict>
    </w:r>
    <w:r w:rsidR="00A61B37">
      <w:fldChar w:fldCharType="end"/>
    </w:r>
    <w:r w:rsidR="005C5A2B">
      <w:fldChar w:fldCharType="end"/>
    </w:r>
    <w:r w:rsidR="001A7CFA">
      <w:fldChar w:fldCharType="end"/>
    </w:r>
    <w:r w:rsidR="00864474">
      <w:fldChar w:fldCharType="end"/>
    </w:r>
    <w:r w:rsidR="0042450C">
      <w:fldChar w:fldCharType="end"/>
    </w:r>
    <w:r w:rsidR="006803ED">
      <w:fldChar w:fldCharType="end"/>
    </w:r>
    <w:r w:rsidR="001D18CE">
      <w:fldChar w:fldCharType="end"/>
    </w:r>
    <w:r w:rsidR="00E43106">
      <w:fldChar w:fldCharType="end"/>
    </w:r>
    <w:r w:rsidR="001635BD">
      <w:fldChar w:fldCharType="end"/>
    </w:r>
    <w:r w:rsidR="00737A5D">
      <w:fldChar w:fldCharType="end"/>
    </w:r>
    <w:r w:rsidR="00AE6F77">
      <w:fldChar w:fldCharType="end"/>
    </w:r>
    <w:r w:rsidR="00D572E3">
      <w:fldChar w:fldCharType="end"/>
    </w:r>
    <w:r w:rsidR="00FD3CD9">
      <w:fldChar w:fldCharType="end"/>
    </w:r>
    <w:r w:rsidR="00A4472F">
      <w:fldChar w:fldCharType="end"/>
    </w:r>
    <w:r w:rsidR="00DC5E7C">
      <w:fldChar w:fldCharType="end"/>
    </w:r>
    <w:r w:rsidR="000744ED">
      <w:fldChar w:fldCharType="end"/>
    </w:r>
    <w:r w:rsidR="006673F5">
      <w:fldChar w:fldCharType="end"/>
    </w:r>
    <w:r w:rsidR="00631F97">
      <w:fldChar w:fldCharType="end"/>
    </w:r>
    <w:r w:rsidR="00404DFE">
      <w:fldChar w:fldCharType="end"/>
    </w:r>
    <w:r w:rsidR="00DB6CD0">
      <w:fldChar w:fldCharType="end"/>
    </w:r>
    <w:r w:rsidR="00661ACF">
      <w:fldChar w:fldCharType="end"/>
    </w:r>
    <w:r w:rsidR="009D7582">
      <w:fldChar w:fldCharType="end"/>
    </w:r>
    <w:r>
      <w:fldChar w:fldCharType="end"/>
    </w:r>
  </w:p>
  <w:p w14:paraId="27F7615F" w14:textId="77777777" w:rsidR="00D84C96" w:rsidRPr="00D638CF" w:rsidRDefault="00D84C96" w:rsidP="00D638CF">
    <w:pPr>
      <w:pStyle w:val="Header"/>
      <w:jc w:val="right"/>
      <w:rPr>
        <w:b/>
        <w:bCs/>
      </w:rPr>
    </w:pPr>
  </w:p>
  <w:p w14:paraId="57BDA707" w14:textId="77777777" w:rsidR="00D84C96" w:rsidRDefault="00D84C96">
    <w:pPr>
      <w:pStyle w:val="Header"/>
      <w:jc w:val="center"/>
      <w:rPr>
        <w:b/>
      </w:rPr>
    </w:pPr>
    <w:r>
      <w:rPr>
        <w:b/>
      </w:rPr>
      <w:t>LIETUVOS RESPUBLIKOS</w:t>
    </w:r>
  </w:p>
  <w:p w14:paraId="21BD9A87" w14:textId="77777777" w:rsidR="00D84C96" w:rsidRDefault="00D84C96">
    <w:pPr>
      <w:pStyle w:val="Header"/>
      <w:jc w:val="center"/>
      <w:rPr>
        <w:b/>
      </w:rPr>
    </w:pPr>
    <w:r>
      <w:rPr>
        <w:b/>
      </w:rPr>
      <w:t>RYŠIŲ REGULIAVIMO TARNYBOS</w:t>
    </w:r>
  </w:p>
  <w:p w14:paraId="01DDDE80" w14:textId="77777777" w:rsidR="00D84C96" w:rsidRDefault="00D84C96">
    <w:pPr>
      <w:pStyle w:val="Header"/>
      <w:jc w:val="center"/>
      <w:rPr>
        <w:b/>
        <w:sz w:val="28"/>
      </w:rPr>
    </w:pPr>
    <w:r>
      <w:rPr>
        <w:b/>
      </w:rPr>
      <w:t>DIREKTORIUS</w:t>
    </w:r>
  </w:p>
  <w:p w14:paraId="37AD837B" w14:textId="77777777" w:rsidR="00D84C96" w:rsidRPr="00051D33" w:rsidRDefault="00D84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C0B21"/>
    <w:multiLevelType w:val="hybridMultilevel"/>
    <w:tmpl w:val="24B821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E96910"/>
    <w:multiLevelType w:val="multilevel"/>
    <w:tmpl w:val="EF843B0A"/>
    <w:lvl w:ilvl="0">
      <w:start w:val="1"/>
      <w:numFmt w:val="decimal"/>
      <w:suff w:val="space"/>
      <w:lvlText w:val="%1."/>
      <w:lvlJc w:val="left"/>
      <w:pPr>
        <w:ind w:left="1440" w:hanging="1440"/>
      </w:pPr>
      <w:rPr>
        <w:rFonts w:hint="default"/>
        <w:b w:val="0"/>
      </w:rPr>
    </w:lvl>
    <w:lvl w:ilvl="1">
      <w:start w:val="1"/>
      <w:numFmt w:val="decimal"/>
      <w:suff w:val="space"/>
      <w:lvlText w:val="%1.%2."/>
      <w:lvlJc w:val="left"/>
      <w:pPr>
        <w:ind w:left="794" w:hanging="45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430"/>
        </w:tabs>
        <w:ind w:left="135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9EF26A5"/>
    <w:multiLevelType w:val="hybridMultilevel"/>
    <w:tmpl w:val="E452D49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0B5033A"/>
    <w:multiLevelType w:val="multilevel"/>
    <w:tmpl w:val="B52E3568"/>
    <w:lvl w:ilvl="0">
      <w:start w:val="1"/>
      <w:numFmt w:val="decimal"/>
      <w:lvlText w:val="%1."/>
      <w:lvlJc w:val="left"/>
      <w:pPr>
        <w:ind w:left="1710" w:hanging="990"/>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24254F4F"/>
    <w:multiLevelType w:val="multilevel"/>
    <w:tmpl w:val="B52E3568"/>
    <w:lvl w:ilvl="0">
      <w:start w:val="1"/>
      <w:numFmt w:val="decimal"/>
      <w:lvlText w:val="%1."/>
      <w:lvlJc w:val="left"/>
      <w:pPr>
        <w:ind w:left="1710" w:hanging="990"/>
      </w:pPr>
      <w:rPr>
        <w:rFonts w:hint="default"/>
      </w:rPr>
    </w:lvl>
    <w:lvl w:ilvl="1">
      <w:start w:val="1"/>
      <w:numFmt w:val="decimal"/>
      <w:isLgl/>
      <w:lvlText w:val="%1.%2."/>
      <w:lvlJc w:val="left"/>
      <w:pPr>
        <w:ind w:left="1723"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A0D7A0B"/>
    <w:multiLevelType w:val="hybridMultilevel"/>
    <w:tmpl w:val="2BFCC77E"/>
    <w:lvl w:ilvl="0" w:tplc="E30C0056">
      <w:start w:val="1"/>
      <w:numFmt w:val="decimal"/>
      <w:lvlText w:val="%1."/>
      <w:lvlJc w:val="left"/>
      <w:pPr>
        <w:tabs>
          <w:tab w:val="num" w:pos="1905"/>
        </w:tabs>
        <w:ind w:left="1905" w:hanging="11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99A1783"/>
    <w:multiLevelType w:val="hybridMultilevel"/>
    <w:tmpl w:val="9856A22C"/>
    <w:lvl w:ilvl="0" w:tplc="F24E4704">
      <w:start w:val="1"/>
      <w:numFmt w:val="decimal"/>
      <w:lvlText w:val="%1."/>
      <w:lvlJc w:val="left"/>
      <w:pPr>
        <w:ind w:left="928" w:hanging="360"/>
      </w:pPr>
      <w:rPr>
        <w:rFonts w:ascii="Times New Roman" w:hAnsi="Times New Roman" w:cs="Times New Roman" w:hint="default"/>
        <w:b w:val="0"/>
        <w:bCs/>
        <w:i w:val="0"/>
        <w:iCs w:val="0"/>
        <w:color w:val="000000" w:themeColor="text1"/>
        <w:sz w:val="24"/>
        <w:szCs w:val="24"/>
      </w:rPr>
    </w:lvl>
    <w:lvl w:ilvl="1" w:tplc="04270019">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7" w15:restartNumberingAfterBreak="0">
    <w:nsid w:val="47A95F5C"/>
    <w:multiLevelType w:val="hybridMultilevel"/>
    <w:tmpl w:val="6342452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4EFB4693"/>
    <w:multiLevelType w:val="hybridMultilevel"/>
    <w:tmpl w:val="5C80F65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516F5BB8"/>
    <w:multiLevelType w:val="multilevel"/>
    <w:tmpl w:val="DD3E3166"/>
    <w:lvl w:ilvl="0">
      <w:start w:val="1"/>
      <w:numFmt w:val="decimal"/>
      <w:lvlText w:val="%1."/>
      <w:lvlJc w:val="left"/>
      <w:pPr>
        <w:tabs>
          <w:tab w:val="num" w:pos="1200"/>
        </w:tabs>
        <w:ind w:left="1200" w:hanging="1200"/>
      </w:pPr>
      <w:rPr>
        <w:rFonts w:hint="default"/>
      </w:rPr>
    </w:lvl>
    <w:lvl w:ilvl="1">
      <w:start w:val="1"/>
      <w:numFmt w:val="decimal"/>
      <w:lvlText w:val="%1.%2."/>
      <w:lvlJc w:val="left"/>
      <w:pPr>
        <w:tabs>
          <w:tab w:val="num" w:pos="1920"/>
        </w:tabs>
        <w:ind w:left="1920" w:hanging="1200"/>
      </w:pPr>
      <w:rPr>
        <w:rFonts w:hint="default"/>
      </w:rPr>
    </w:lvl>
    <w:lvl w:ilvl="2">
      <w:start w:val="1"/>
      <w:numFmt w:val="decimal"/>
      <w:lvlText w:val="%1.%2.%3."/>
      <w:lvlJc w:val="left"/>
      <w:pPr>
        <w:tabs>
          <w:tab w:val="num" w:pos="2640"/>
        </w:tabs>
        <w:ind w:left="2640" w:hanging="1200"/>
      </w:pPr>
      <w:rPr>
        <w:rFonts w:hint="default"/>
      </w:rPr>
    </w:lvl>
    <w:lvl w:ilvl="3">
      <w:start w:val="1"/>
      <w:numFmt w:val="decimal"/>
      <w:lvlText w:val="%1.%2.%3.%4."/>
      <w:lvlJc w:val="left"/>
      <w:pPr>
        <w:tabs>
          <w:tab w:val="num" w:pos="3360"/>
        </w:tabs>
        <w:ind w:left="3360" w:hanging="1200"/>
      </w:pPr>
      <w:rPr>
        <w:rFonts w:hint="default"/>
      </w:rPr>
    </w:lvl>
    <w:lvl w:ilvl="4">
      <w:start w:val="1"/>
      <w:numFmt w:val="decimal"/>
      <w:lvlText w:val="%1.%2.%3.%4.%5."/>
      <w:lvlJc w:val="left"/>
      <w:pPr>
        <w:tabs>
          <w:tab w:val="num" w:pos="4080"/>
        </w:tabs>
        <w:ind w:left="4080" w:hanging="1200"/>
      </w:pPr>
      <w:rPr>
        <w:rFonts w:hint="default"/>
      </w:rPr>
    </w:lvl>
    <w:lvl w:ilvl="5">
      <w:start w:val="1"/>
      <w:numFmt w:val="decimal"/>
      <w:lvlText w:val="%1.%2.%3.%4.%5.%6."/>
      <w:lvlJc w:val="left"/>
      <w:pPr>
        <w:tabs>
          <w:tab w:val="num" w:pos="4800"/>
        </w:tabs>
        <w:ind w:left="4800" w:hanging="120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5D095E94"/>
    <w:multiLevelType w:val="hybridMultilevel"/>
    <w:tmpl w:val="277E958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60793A97"/>
    <w:multiLevelType w:val="hybridMultilevel"/>
    <w:tmpl w:val="38AEE0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0A84597"/>
    <w:multiLevelType w:val="hybridMultilevel"/>
    <w:tmpl w:val="EEF8683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1890B17"/>
    <w:multiLevelType w:val="hybridMultilevel"/>
    <w:tmpl w:val="C68C8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8AD07F9"/>
    <w:multiLevelType w:val="hybridMultilevel"/>
    <w:tmpl w:val="F36C16A4"/>
    <w:lvl w:ilvl="0" w:tplc="0427000F">
      <w:start w:val="1"/>
      <w:numFmt w:val="decimal"/>
      <w:lvlText w:val="%1."/>
      <w:lvlJc w:val="left"/>
      <w:pPr>
        <w:tabs>
          <w:tab w:val="num" w:pos="928"/>
        </w:tabs>
        <w:ind w:left="928"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2"/>
  </w:num>
  <w:num w:numId="4">
    <w:abstractNumId w:val="11"/>
  </w:num>
  <w:num w:numId="5">
    <w:abstractNumId w:val="13"/>
  </w:num>
  <w:num w:numId="6">
    <w:abstractNumId w:val="7"/>
  </w:num>
  <w:num w:numId="7">
    <w:abstractNumId w:val="8"/>
  </w:num>
  <w:num w:numId="8">
    <w:abstractNumId w:val="4"/>
  </w:num>
  <w:num w:numId="9">
    <w:abstractNumId w:val="10"/>
  </w:num>
  <w:num w:numId="10">
    <w:abstractNumId w:val="14"/>
  </w:num>
  <w:num w:numId="11">
    <w:abstractNumId w:val="3"/>
  </w:num>
  <w:num w:numId="12">
    <w:abstractNumId w:val="12"/>
  </w:num>
  <w:num w:numId="13">
    <w:abstractNumId w:val="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1" w:cryptProviderType="rsaAES" w:cryptAlgorithmClass="hash" w:cryptAlgorithmType="typeAny" w:cryptAlgorithmSid="14" w:cryptSpinCount="100000" w:hash="DLr1epc9U5yJFWjFfH0p7r+ODkE3UAOS99lvgnDeAHz91Q5xsonqrsK6cNkEyWSOCm3D2qKRwpDZxr9DAl5i/w==" w:salt="Nnu1vn2pGE2mDuI936Cnjw=="/>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zNzA3MzU0NjYzNzZU0lEKTi0uzszPAykwrAUAzVshfiwAAAA="/>
  </w:docVars>
  <w:rsids>
    <w:rsidRoot w:val="004C3FC5"/>
    <w:rsid w:val="000005E6"/>
    <w:rsid w:val="000006CE"/>
    <w:rsid w:val="00002FBB"/>
    <w:rsid w:val="00003814"/>
    <w:rsid w:val="00004D6B"/>
    <w:rsid w:val="000054ED"/>
    <w:rsid w:val="000058F7"/>
    <w:rsid w:val="000113C3"/>
    <w:rsid w:val="000134FB"/>
    <w:rsid w:val="000150AF"/>
    <w:rsid w:val="00016D28"/>
    <w:rsid w:val="000209D6"/>
    <w:rsid w:val="00022C87"/>
    <w:rsid w:val="0002503F"/>
    <w:rsid w:val="00027923"/>
    <w:rsid w:val="000308F2"/>
    <w:rsid w:val="00030EE7"/>
    <w:rsid w:val="0003160A"/>
    <w:rsid w:val="00032AF4"/>
    <w:rsid w:val="00034937"/>
    <w:rsid w:val="00035EE1"/>
    <w:rsid w:val="00036A11"/>
    <w:rsid w:val="0003702E"/>
    <w:rsid w:val="00040439"/>
    <w:rsid w:val="0004533A"/>
    <w:rsid w:val="00045A2B"/>
    <w:rsid w:val="00045CE3"/>
    <w:rsid w:val="000462EC"/>
    <w:rsid w:val="000465C9"/>
    <w:rsid w:val="0004742B"/>
    <w:rsid w:val="00050DCD"/>
    <w:rsid w:val="00051D33"/>
    <w:rsid w:val="000556F1"/>
    <w:rsid w:val="00057EBB"/>
    <w:rsid w:val="00064B98"/>
    <w:rsid w:val="00066977"/>
    <w:rsid w:val="00066B7F"/>
    <w:rsid w:val="00066F95"/>
    <w:rsid w:val="00067DAF"/>
    <w:rsid w:val="00070592"/>
    <w:rsid w:val="00071DC3"/>
    <w:rsid w:val="00073DA7"/>
    <w:rsid w:val="000744ED"/>
    <w:rsid w:val="00075316"/>
    <w:rsid w:val="00075658"/>
    <w:rsid w:val="000766CA"/>
    <w:rsid w:val="000818E5"/>
    <w:rsid w:val="00083842"/>
    <w:rsid w:val="000844D8"/>
    <w:rsid w:val="00084D20"/>
    <w:rsid w:val="0008533A"/>
    <w:rsid w:val="000854FF"/>
    <w:rsid w:val="0008794A"/>
    <w:rsid w:val="0009444E"/>
    <w:rsid w:val="000945F4"/>
    <w:rsid w:val="000A182C"/>
    <w:rsid w:val="000A3B38"/>
    <w:rsid w:val="000A4B85"/>
    <w:rsid w:val="000A5CFB"/>
    <w:rsid w:val="000A6102"/>
    <w:rsid w:val="000B020C"/>
    <w:rsid w:val="000B0CBC"/>
    <w:rsid w:val="000B13E9"/>
    <w:rsid w:val="000B244B"/>
    <w:rsid w:val="000B2990"/>
    <w:rsid w:val="000B3214"/>
    <w:rsid w:val="000B3351"/>
    <w:rsid w:val="000B4E16"/>
    <w:rsid w:val="000B70FF"/>
    <w:rsid w:val="000C079F"/>
    <w:rsid w:val="000C1C94"/>
    <w:rsid w:val="000C23D2"/>
    <w:rsid w:val="000C3BEB"/>
    <w:rsid w:val="000C4E9E"/>
    <w:rsid w:val="000C5043"/>
    <w:rsid w:val="000C57B8"/>
    <w:rsid w:val="000C6704"/>
    <w:rsid w:val="000D2738"/>
    <w:rsid w:val="000D3F04"/>
    <w:rsid w:val="000D5BEC"/>
    <w:rsid w:val="000D5CF7"/>
    <w:rsid w:val="000D6A22"/>
    <w:rsid w:val="000D70DC"/>
    <w:rsid w:val="000E0751"/>
    <w:rsid w:val="000E0772"/>
    <w:rsid w:val="000E3751"/>
    <w:rsid w:val="000E4066"/>
    <w:rsid w:val="000E61C5"/>
    <w:rsid w:val="000F0402"/>
    <w:rsid w:val="000F183C"/>
    <w:rsid w:val="000F2155"/>
    <w:rsid w:val="000F2E4F"/>
    <w:rsid w:val="000F40FF"/>
    <w:rsid w:val="000F5C00"/>
    <w:rsid w:val="000F61DE"/>
    <w:rsid w:val="0010080B"/>
    <w:rsid w:val="001010F6"/>
    <w:rsid w:val="00103D11"/>
    <w:rsid w:val="0010550F"/>
    <w:rsid w:val="00106E5F"/>
    <w:rsid w:val="00107783"/>
    <w:rsid w:val="00113130"/>
    <w:rsid w:val="001166CE"/>
    <w:rsid w:val="00116AB8"/>
    <w:rsid w:val="001222CF"/>
    <w:rsid w:val="0012367D"/>
    <w:rsid w:val="0012379C"/>
    <w:rsid w:val="001246D9"/>
    <w:rsid w:val="001267D3"/>
    <w:rsid w:val="001279EE"/>
    <w:rsid w:val="00136F1A"/>
    <w:rsid w:val="0013749C"/>
    <w:rsid w:val="00137ED5"/>
    <w:rsid w:val="001420B8"/>
    <w:rsid w:val="001434F9"/>
    <w:rsid w:val="0014379A"/>
    <w:rsid w:val="00145C84"/>
    <w:rsid w:val="00146507"/>
    <w:rsid w:val="0014743E"/>
    <w:rsid w:val="00147A25"/>
    <w:rsid w:val="0015087F"/>
    <w:rsid w:val="00151ADD"/>
    <w:rsid w:val="00151DC7"/>
    <w:rsid w:val="00151FEB"/>
    <w:rsid w:val="001562D8"/>
    <w:rsid w:val="00157031"/>
    <w:rsid w:val="00157BCA"/>
    <w:rsid w:val="00160AEE"/>
    <w:rsid w:val="001635BD"/>
    <w:rsid w:val="00163941"/>
    <w:rsid w:val="00163FBB"/>
    <w:rsid w:val="00164898"/>
    <w:rsid w:val="00164F41"/>
    <w:rsid w:val="00165463"/>
    <w:rsid w:val="00167662"/>
    <w:rsid w:val="00171B92"/>
    <w:rsid w:val="00173775"/>
    <w:rsid w:val="001753FB"/>
    <w:rsid w:val="001770D7"/>
    <w:rsid w:val="00180C2F"/>
    <w:rsid w:val="001827F8"/>
    <w:rsid w:val="001839A7"/>
    <w:rsid w:val="00187A17"/>
    <w:rsid w:val="00190C48"/>
    <w:rsid w:val="00191753"/>
    <w:rsid w:val="00191853"/>
    <w:rsid w:val="00193B7C"/>
    <w:rsid w:val="00195403"/>
    <w:rsid w:val="00195DB8"/>
    <w:rsid w:val="001975FE"/>
    <w:rsid w:val="001A21AF"/>
    <w:rsid w:val="001A2410"/>
    <w:rsid w:val="001A26D6"/>
    <w:rsid w:val="001A2779"/>
    <w:rsid w:val="001A3220"/>
    <w:rsid w:val="001A3748"/>
    <w:rsid w:val="001A6961"/>
    <w:rsid w:val="001A7CFA"/>
    <w:rsid w:val="001A7EF3"/>
    <w:rsid w:val="001B264A"/>
    <w:rsid w:val="001B6243"/>
    <w:rsid w:val="001B652B"/>
    <w:rsid w:val="001B7953"/>
    <w:rsid w:val="001C261B"/>
    <w:rsid w:val="001C51FD"/>
    <w:rsid w:val="001C66CB"/>
    <w:rsid w:val="001C7C0C"/>
    <w:rsid w:val="001D18CE"/>
    <w:rsid w:val="001D3E08"/>
    <w:rsid w:val="001E0906"/>
    <w:rsid w:val="001E15FE"/>
    <w:rsid w:val="001E64C7"/>
    <w:rsid w:val="001E6EC5"/>
    <w:rsid w:val="001E7F95"/>
    <w:rsid w:val="001F2EF7"/>
    <w:rsid w:val="001F3439"/>
    <w:rsid w:val="001F4374"/>
    <w:rsid w:val="001F44EE"/>
    <w:rsid w:val="001F5A11"/>
    <w:rsid w:val="001F68CD"/>
    <w:rsid w:val="001F7A75"/>
    <w:rsid w:val="001F7CF4"/>
    <w:rsid w:val="00201B99"/>
    <w:rsid w:val="00202DC6"/>
    <w:rsid w:val="00205DF3"/>
    <w:rsid w:val="00206C4C"/>
    <w:rsid w:val="00207849"/>
    <w:rsid w:val="0021067C"/>
    <w:rsid w:val="00211821"/>
    <w:rsid w:val="0021261F"/>
    <w:rsid w:val="00213054"/>
    <w:rsid w:val="00213E8D"/>
    <w:rsid w:val="00214383"/>
    <w:rsid w:val="00215A2F"/>
    <w:rsid w:val="00215A5A"/>
    <w:rsid w:val="00223DB4"/>
    <w:rsid w:val="00224D02"/>
    <w:rsid w:val="00225672"/>
    <w:rsid w:val="002300A9"/>
    <w:rsid w:val="00231875"/>
    <w:rsid w:val="0023276D"/>
    <w:rsid w:val="00234564"/>
    <w:rsid w:val="00236E7B"/>
    <w:rsid w:val="00237900"/>
    <w:rsid w:val="00237D7F"/>
    <w:rsid w:val="00242F1F"/>
    <w:rsid w:val="00243D7F"/>
    <w:rsid w:val="00246F7E"/>
    <w:rsid w:val="002542BE"/>
    <w:rsid w:val="00255D8F"/>
    <w:rsid w:val="00256541"/>
    <w:rsid w:val="0025700D"/>
    <w:rsid w:val="0025726D"/>
    <w:rsid w:val="0026082F"/>
    <w:rsid w:val="002648C6"/>
    <w:rsid w:val="00265E14"/>
    <w:rsid w:val="002662EA"/>
    <w:rsid w:val="002676CA"/>
    <w:rsid w:val="0027022B"/>
    <w:rsid w:val="002708D7"/>
    <w:rsid w:val="002715EA"/>
    <w:rsid w:val="00271FD9"/>
    <w:rsid w:val="00271FE4"/>
    <w:rsid w:val="00273DDD"/>
    <w:rsid w:val="00277535"/>
    <w:rsid w:val="0028060D"/>
    <w:rsid w:val="00281E92"/>
    <w:rsid w:val="0028310E"/>
    <w:rsid w:val="00284521"/>
    <w:rsid w:val="00287FAF"/>
    <w:rsid w:val="0029037A"/>
    <w:rsid w:val="00290C1E"/>
    <w:rsid w:val="00292E1F"/>
    <w:rsid w:val="002932D9"/>
    <w:rsid w:val="00294B55"/>
    <w:rsid w:val="00295D67"/>
    <w:rsid w:val="00297038"/>
    <w:rsid w:val="002A293C"/>
    <w:rsid w:val="002A601A"/>
    <w:rsid w:val="002B06C6"/>
    <w:rsid w:val="002B17CC"/>
    <w:rsid w:val="002B260C"/>
    <w:rsid w:val="002B534D"/>
    <w:rsid w:val="002B5368"/>
    <w:rsid w:val="002B7573"/>
    <w:rsid w:val="002B7648"/>
    <w:rsid w:val="002C0FA2"/>
    <w:rsid w:val="002C2090"/>
    <w:rsid w:val="002C298F"/>
    <w:rsid w:val="002C40CF"/>
    <w:rsid w:val="002C5570"/>
    <w:rsid w:val="002C56F8"/>
    <w:rsid w:val="002D23B2"/>
    <w:rsid w:val="002D2884"/>
    <w:rsid w:val="002E0798"/>
    <w:rsid w:val="002E3891"/>
    <w:rsid w:val="002E548B"/>
    <w:rsid w:val="002E55AB"/>
    <w:rsid w:val="002E589C"/>
    <w:rsid w:val="002F304C"/>
    <w:rsid w:val="002F404E"/>
    <w:rsid w:val="002F4A58"/>
    <w:rsid w:val="00301BBA"/>
    <w:rsid w:val="0030238A"/>
    <w:rsid w:val="00306103"/>
    <w:rsid w:val="0030672F"/>
    <w:rsid w:val="00310C9E"/>
    <w:rsid w:val="00310ED3"/>
    <w:rsid w:val="00314470"/>
    <w:rsid w:val="00315519"/>
    <w:rsid w:val="00315784"/>
    <w:rsid w:val="003158DF"/>
    <w:rsid w:val="00316297"/>
    <w:rsid w:val="0031664F"/>
    <w:rsid w:val="00320106"/>
    <w:rsid w:val="00321048"/>
    <w:rsid w:val="0032272F"/>
    <w:rsid w:val="00322CC9"/>
    <w:rsid w:val="0032399B"/>
    <w:rsid w:val="00324D11"/>
    <w:rsid w:val="00325B71"/>
    <w:rsid w:val="0032601E"/>
    <w:rsid w:val="00331719"/>
    <w:rsid w:val="00331BB0"/>
    <w:rsid w:val="003415B6"/>
    <w:rsid w:val="00341844"/>
    <w:rsid w:val="00341862"/>
    <w:rsid w:val="0034249F"/>
    <w:rsid w:val="0034293B"/>
    <w:rsid w:val="00342F12"/>
    <w:rsid w:val="00350D0A"/>
    <w:rsid w:val="00353D7D"/>
    <w:rsid w:val="00354401"/>
    <w:rsid w:val="003552DC"/>
    <w:rsid w:val="00355D7B"/>
    <w:rsid w:val="003577AE"/>
    <w:rsid w:val="0036157C"/>
    <w:rsid w:val="00362843"/>
    <w:rsid w:val="00362F47"/>
    <w:rsid w:val="0036321C"/>
    <w:rsid w:val="00363388"/>
    <w:rsid w:val="003642BC"/>
    <w:rsid w:val="0036430F"/>
    <w:rsid w:val="00364675"/>
    <w:rsid w:val="00365EED"/>
    <w:rsid w:val="0036700A"/>
    <w:rsid w:val="00370F0F"/>
    <w:rsid w:val="00372EE9"/>
    <w:rsid w:val="00373011"/>
    <w:rsid w:val="00374BF6"/>
    <w:rsid w:val="003779E0"/>
    <w:rsid w:val="00380F9B"/>
    <w:rsid w:val="003857A1"/>
    <w:rsid w:val="003879AA"/>
    <w:rsid w:val="00390C3E"/>
    <w:rsid w:val="00391F85"/>
    <w:rsid w:val="00394C9E"/>
    <w:rsid w:val="00395804"/>
    <w:rsid w:val="00396959"/>
    <w:rsid w:val="00397109"/>
    <w:rsid w:val="003977C2"/>
    <w:rsid w:val="003A0CBA"/>
    <w:rsid w:val="003A13D9"/>
    <w:rsid w:val="003A1544"/>
    <w:rsid w:val="003A1F1F"/>
    <w:rsid w:val="003A21D6"/>
    <w:rsid w:val="003A246A"/>
    <w:rsid w:val="003A336C"/>
    <w:rsid w:val="003A44F2"/>
    <w:rsid w:val="003A4E15"/>
    <w:rsid w:val="003A7F88"/>
    <w:rsid w:val="003B13EE"/>
    <w:rsid w:val="003B313E"/>
    <w:rsid w:val="003B31D6"/>
    <w:rsid w:val="003B38E4"/>
    <w:rsid w:val="003B3D47"/>
    <w:rsid w:val="003B3FD5"/>
    <w:rsid w:val="003B5042"/>
    <w:rsid w:val="003B628D"/>
    <w:rsid w:val="003B7F70"/>
    <w:rsid w:val="003C0704"/>
    <w:rsid w:val="003C084C"/>
    <w:rsid w:val="003C3A49"/>
    <w:rsid w:val="003C425D"/>
    <w:rsid w:val="003C5F3D"/>
    <w:rsid w:val="003C617A"/>
    <w:rsid w:val="003D0054"/>
    <w:rsid w:val="003D2BC6"/>
    <w:rsid w:val="003D4DCF"/>
    <w:rsid w:val="003D5F52"/>
    <w:rsid w:val="003D6874"/>
    <w:rsid w:val="003E3B91"/>
    <w:rsid w:val="003E4D8D"/>
    <w:rsid w:val="003E558D"/>
    <w:rsid w:val="003E5A71"/>
    <w:rsid w:val="003F0D93"/>
    <w:rsid w:val="003F1CC2"/>
    <w:rsid w:val="003F223C"/>
    <w:rsid w:val="003F3C7F"/>
    <w:rsid w:val="003F5F1C"/>
    <w:rsid w:val="003F6699"/>
    <w:rsid w:val="003F7C7A"/>
    <w:rsid w:val="00402AC4"/>
    <w:rsid w:val="00403EBC"/>
    <w:rsid w:val="00404DFE"/>
    <w:rsid w:val="004054A1"/>
    <w:rsid w:val="00405D37"/>
    <w:rsid w:val="00405FF9"/>
    <w:rsid w:val="004070B8"/>
    <w:rsid w:val="00416422"/>
    <w:rsid w:val="00416EC8"/>
    <w:rsid w:val="00416FE5"/>
    <w:rsid w:val="00417C78"/>
    <w:rsid w:val="00420489"/>
    <w:rsid w:val="00420948"/>
    <w:rsid w:val="00422C0F"/>
    <w:rsid w:val="0042450C"/>
    <w:rsid w:val="0042646E"/>
    <w:rsid w:val="00430555"/>
    <w:rsid w:val="004305DE"/>
    <w:rsid w:val="00431353"/>
    <w:rsid w:val="004356B4"/>
    <w:rsid w:val="0043623E"/>
    <w:rsid w:val="00443226"/>
    <w:rsid w:val="00443A3C"/>
    <w:rsid w:val="00444271"/>
    <w:rsid w:val="00445B63"/>
    <w:rsid w:val="00447171"/>
    <w:rsid w:val="0044797F"/>
    <w:rsid w:val="00454A9D"/>
    <w:rsid w:val="00457135"/>
    <w:rsid w:val="00457356"/>
    <w:rsid w:val="00461891"/>
    <w:rsid w:val="00462194"/>
    <w:rsid w:val="0046443C"/>
    <w:rsid w:val="004670C6"/>
    <w:rsid w:val="00467A3F"/>
    <w:rsid w:val="00470353"/>
    <w:rsid w:val="004706C7"/>
    <w:rsid w:val="00475759"/>
    <w:rsid w:val="004767D3"/>
    <w:rsid w:val="00476CD9"/>
    <w:rsid w:val="0048115E"/>
    <w:rsid w:val="00483478"/>
    <w:rsid w:val="0048744A"/>
    <w:rsid w:val="00487F22"/>
    <w:rsid w:val="00490CA2"/>
    <w:rsid w:val="00490D76"/>
    <w:rsid w:val="00493136"/>
    <w:rsid w:val="0049502E"/>
    <w:rsid w:val="004975A4"/>
    <w:rsid w:val="004A14FF"/>
    <w:rsid w:val="004A1990"/>
    <w:rsid w:val="004A2894"/>
    <w:rsid w:val="004A4BCA"/>
    <w:rsid w:val="004B3E94"/>
    <w:rsid w:val="004B4E95"/>
    <w:rsid w:val="004B53C7"/>
    <w:rsid w:val="004B5971"/>
    <w:rsid w:val="004B765D"/>
    <w:rsid w:val="004C1C30"/>
    <w:rsid w:val="004C1ED8"/>
    <w:rsid w:val="004C2D7C"/>
    <w:rsid w:val="004C2FA1"/>
    <w:rsid w:val="004C3F2F"/>
    <w:rsid w:val="004C3FC5"/>
    <w:rsid w:val="004C48D9"/>
    <w:rsid w:val="004C5C7D"/>
    <w:rsid w:val="004C74A9"/>
    <w:rsid w:val="004C791D"/>
    <w:rsid w:val="004D331D"/>
    <w:rsid w:val="004D3E04"/>
    <w:rsid w:val="004D5CF5"/>
    <w:rsid w:val="004D67C8"/>
    <w:rsid w:val="004D6806"/>
    <w:rsid w:val="004E10B0"/>
    <w:rsid w:val="004E2C1D"/>
    <w:rsid w:val="004E5F86"/>
    <w:rsid w:val="004E613D"/>
    <w:rsid w:val="004E7465"/>
    <w:rsid w:val="004F0F9F"/>
    <w:rsid w:val="004F146A"/>
    <w:rsid w:val="004F3E67"/>
    <w:rsid w:val="004F4241"/>
    <w:rsid w:val="004F58A2"/>
    <w:rsid w:val="004F5AEF"/>
    <w:rsid w:val="004F6CA2"/>
    <w:rsid w:val="0050043C"/>
    <w:rsid w:val="00500F3E"/>
    <w:rsid w:val="00502CE4"/>
    <w:rsid w:val="00502DA0"/>
    <w:rsid w:val="005101AA"/>
    <w:rsid w:val="005111D0"/>
    <w:rsid w:val="005122DB"/>
    <w:rsid w:val="00512658"/>
    <w:rsid w:val="00513091"/>
    <w:rsid w:val="005143F4"/>
    <w:rsid w:val="00514689"/>
    <w:rsid w:val="005161C8"/>
    <w:rsid w:val="00516CB8"/>
    <w:rsid w:val="00517105"/>
    <w:rsid w:val="00523576"/>
    <w:rsid w:val="005238BE"/>
    <w:rsid w:val="00527924"/>
    <w:rsid w:val="00527B5D"/>
    <w:rsid w:val="00530301"/>
    <w:rsid w:val="00531E7D"/>
    <w:rsid w:val="005341C6"/>
    <w:rsid w:val="00534700"/>
    <w:rsid w:val="005353EB"/>
    <w:rsid w:val="005358DF"/>
    <w:rsid w:val="00536AA0"/>
    <w:rsid w:val="0054116A"/>
    <w:rsid w:val="0054185D"/>
    <w:rsid w:val="005435EF"/>
    <w:rsid w:val="0054539D"/>
    <w:rsid w:val="005471D6"/>
    <w:rsid w:val="0055040B"/>
    <w:rsid w:val="0055081D"/>
    <w:rsid w:val="0055139C"/>
    <w:rsid w:val="0056230C"/>
    <w:rsid w:val="0056239D"/>
    <w:rsid w:val="005647EB"/>
    <w:rsid w:val="00567F56"/>
    <w:rsid w:val="005737AA"/>
    <w:rsid w:val="00573C90"/>
    <w:rsid w:val="00573D47"/>
    <w:rsid w:val="00581932"/>
    <w:rsid w:val="00582316"/>
    <w:rsid w:val="005827B9"/>
    <w:rsid w:val="00583857"/>
    <w:rsid w:val="00585C60"/>
    <w:rsid w:val="00587280"/>
    <w:rsid w:val="005900D6"/>
    <w:rsid w:val="00590C8C"/>
    <w:rsid w:val="00594581"/>
    <w:rsid w:val="00594AE3"/>
    <w:rsid w:val="00596C59"/>
    <w:rsid w:val="005972F1"/>
    <w:rsid w:val="005978A2"/>
    <w:rsid w:val="005A009F"/>
    <w:rsid w:val="005A1DDD"/>
    <w:rsid w:val="005A332D"/>
    <w:rsid w:val="005A3B99"/>
    <w:rsid w:val="005A5222"/>
    <w:rsid w:val="005A5C76"/>
    <w:rsid w:val="005A600E"/>
    <w:rsid w:val="005B509F"/>
    <w:rsid w:val="005B65F4"/>
    <w:rsid w:val="005B6731"/>
    <w:rsid w:val="005B7D23"/>
    <w:rsid w:val="005C0F34"/>
    <w:rsid w:val="005C2655"/>
    <w:rsid w:val="005C28AE"/>
    <w:rsid w:val="005C2DD4"/>
    <w:rsid w:val="005C5A2B"/>
    <w:rsid w:val="005C5B70"/>
    <w:rsid w:val="005C6795"/>
    <w:rsid w:val="005C6ACB"/>
    <w:rsid w:val="005C6F48"/>
    <w:rsid w:val="005C7CB3"/>
    <w:rsid w:val="005D0267"/>
    <w:rsid w:val="005D15D6"/>
    <w:rsid w:val="005D27AD"/>
    <w:rsid w:val="005D3444"/>
    <w:rsid w:val="005D5EDF"/>
    <w:rsid w:val="005D689F"/>
    <w:rsid w:val="005D71B2"/>
    <w:rsid w:val="005E6C77"/>
    <w:rsid w:val="005F10BA"/>
    <w:rsid w:val="005F2D63"/>
    <w:rsid w:val="005F57A3"/>
    <w:rsid w:val="005F5D3E"/>
    <w:rsid w:val="005F77C5"/>
    <w:rsid w:val="0060038B"/>
    <w:rsid w:val="00601066"/>
    <w:rsid w:val="006032DC"/>
    <w:rsid w:val="0060687F"/>
    <w:rsid w:val="00607681"/>
    <w:rsid w:val="00611206"/>
    <w:rsid w:val="00611C57"/>
    <w:rsid w:val="00612185"/>
    <w:rsid w:val="006160E5"/>
    <w:rsid w:val="00617A55"/>
    <w:rsid w:val="006247D0"/>
    <w:rsid w:val="00626C00"/>
    <w:rsid w:val="0062731D"/>
    <w:rsid w:val="006273D2"/>
    <w:rsid w:val="0062778A"/>
    <w:rsid w:val="00630E03"/>
    <w:rsid w:val="00631B9F"/>
    <w:rsid w:val="00631BFB"/>
    <w:rsid w:val="00631F97"/>
    <w:rsid w:val="00633484"/>
    <w:rsid w:val="00636DD0"/>
    <w:rsid w:val="0064185A"/>
    <w:rsid w:val="006438DA"/>
    <w:rsid w:val="00643B33"/>
    <w:rsid w:val="006454C2"/>
    <w:rsid w:val="00645C5A"/>
    <w:rsid w:val="00646B28"/>
    <w:rsid w:val="006505EC"/>
    <w:rsid w:val="00650FDB"/>
    <w:rsid w:val="00651AC5"/>
    <w:rsid w:val="006520A3"/>
    <w:rsid w:val="006545F0"/>
    <w:rsid w:val="0066153A"/>
    <w:rsid w:val="00661ACF"/>
    <w:rsid w:val="00662B94"/>
    <w:rsid w:val="006633F4"/>
    <w:rsid w:val="006644CF"/>
    <w:rsid w:val="006673F5"/>
    <w:rsid w:val="00667EAE"/>
    <w:rsid w:val="00671B30"/>
    <w:rsid w:val="00671C03"/>
    <w:rsid w:val="00672ED6"/>
    <w:rsid w:val="0067385D"/>
    <w:rsid w:val="00674ACA"/>
    <w:rsid w:val="00674E23"/>
    <w:rsid w:val="00676268"/>
    <w:rsid w:val="00677F5C"/>
    <w:rsid w:val="006803ED"/>
    <w:rsid w:val="00681344"/>
    <w:rsid w:val="00681EF2"/>
    <w:rsid w:val="006830EF"/>
    <w:rsid w:val="006845C6"/>
    <w:rsid w:val="00684C25"/>
    <w:rsid w:val="00685DFB"/>
    <w:rsid w:val="0068775F"/>
    <w:rsid w:val="00690424"/>
    <w:rsid w:val="00691004"/>
    <w:rsid w:val="006960AA"/>
    <w:rsid w:val="00696BDB"/>
    <w:rsid w:val="006A1E81"/>
    <w:rsid w:val="006A41CB"/>
    <w:rsid w:val="006A4622"/>
    <w:rsid w:val="006A4E41"/>
    <w:rsid w:val="006A5291"/>
    <w:rsid w:val="006B446D"/>
    <w:rsid w:val="006B4591"/>
    <w:rsid w:val="006C03A2"/>
    <w:rsid w:val="006C16B5"/>
    <w:rsid w:val="006C3BBA"/>
    <w:rsid w:val="006C4F08"/>
    <w:rsid w:val="006C64C7"/>
    <w:rsid w:val="006C7BA1"/>
    <w:rsid w:val="006D009D"/>
    <w:rsid w:val="006D16DA"/>
    <w:rsid w:val="006D247C"/>
    <w:rsid w:val="006E2694"/>
    <w:rsid w:val="006E577C"/>
    <w:rsid w:val="006E7FD2"/>
    <w:rsid w:val="006F1475"/>
    <w:rsid w:val="006F2C02"/>
    <w:rsid w:val="006F3B16"/>
    <w:rsid w:val="006F4E88"/>
    <w:rsid w:val="006F51C3"/>
    <w:rsid w:val="00702A94"/>
    <w:rsid w:val="00702AD1"/>
    <w:rsid w:val="00702D0C"/>
    <w:rsid w:val="00704426"/>
    <w:rsid w:val="00705755"/>
    <w:rsid w:val="00705792"/>
    <w:rsid w:val="007074D5"/>
    <w:rsid w:val="00710F1C"/>
    <w:rsid w:val="00711BFA"/>
    <w:rsid w:val="0071365E"/>
    <w:rsid w:val="0071725C"/>
    <w:rsid w:val="00721A42"/>
    <w:rsid w:val="00725FB7"/>
    <w:rsid w:val="00726001"/>
    <w:rsid w:val="007269CA"/>
    <w:rsid w:val="00727AD6"/>
    <w:rsid w:val="007304C9"/>
    <w:rsid w:val="007346BE"/>
    <w:rsid w:val="0073539C"/>
    <w:rsid w:val="007360D9"/>
    <w:rsid w:val="00737499"/>
    <w:rsid w:val="00737A5D"/>
    <w:rsid w:val="00737D0A"/>
    <w:rsid w:val="00740271"/>
    <w:rsid w:val="0074077C"/>
    <w:rsid w:val="007430B3"/>
    <w:rsid w:val="007431BF"/>
    <w:rsid w:val="00747662"/>
    <w:rsid w:val="00747AD9"/>
    <w:rsid w:val="00747DDC"/>
    <w:rsid w:val="00751360"/>
    <w:rsid w:val="00751C07"/>
    <w:rsid w:val="00752277"/>
    <w:rsid w:val="00752455"/>
    <w:rsid w:val="00752DE9"/>
    <w:rsid w:val="007558CD"/>
    <w:rsid w:val="00757FF0"/>
    <w:rsid w:val="00760861"/>
    <w:rsid w:val="00760C02"/>
    <w:rsid w:val="007611CD"/>
    <w:rsid w:val="00761CA5"/>
    <w:rsid w:val="00762ACF"/>
    <w:rsid w:val="00762EE2"/>
    <w:rsid w:val="00766C1D"/>
    <w:rsid w:val="00767026"/>
    <w:rsid w:val="007675E0"/>
    <w:rsid w:val="007705D1"/>
    <w:rsid w:val="007712D2"/>
    <w:rsid w:val="00773B4C"/>
    <w:rsid w:val="00776341"/>
    <w:rsid w:val="00777A77"/>
    <w:rsid w:val="00780424"/>
    <w:rsid w:val="007812B3"/>
    <w:rsid w:val="00782AB0"/>
    <w:rsid w:val="00783144"/>
    <w:rsid w:val="00784067"/>
    <w:rsid w:val="00785C9E"/>
    <w:rsid w:val="007866A9"/>
    <w:rsid w:val="007876BE"/>
    <w:rsid w:val="00787C8A"/>
    <w:rsid w:val="00791685"/>
    <w:rsid w:val="00791BD2"/>
    <w:rsid w:val="00793966"/>
    <w:rsid w:val="0079542A"/>
    <w:rsid w:val="0079559F"/>
    <w:rsid w:val="00796710"/>
    <w:rsid w:val="007A1D35"/>
    <w:rsid w:val="007A3FF5"/>
    <w:rsid w:val="007A43FA"/>
    <w:rsid w:val="007A76EF"/>
    <w:rsid w:val="007B151C"/>
    <w:rsid w:val="007B3250"/>
    <w:rsid w:val="007B366F"/>
    <w:rsid w:val="007B482F"/>
    <w:rsid w:val="007B4F35"/>
    <w:rsid w:val="007B73B7"/>
    <w:rsid w:val="007B7D13"/>
    <w:rsid w:val="007C0DBA"/>
    <w:rsid w:val="007C2750"/>
    <w:rsid w:val="007C3962"/>
    <w:rsid w:val="007C52C7"/>
    <w:rsid w:val="007C57C2"/>
    <w:rsid w:val="007C7BD8"/>
    <w:rsid w:val="007D1375"/>
    <w:rsid w:val="007D1B94"/>
    <w:rsid w:val="007D221E"/>
    <w:rsid w:val="007D62AF"/>
    <w:rsid w:val="007E09CA"/>
    <w:rsid w:val="007E2B82"/>
    <w:rsid w:val="007E57AD"/>
    <w:rsid w:val="007E57B2"/>
    <w:rsid w:val="007E641A"/>
    <w:rsid w:val="007F05FD"/>
    <w:rsid w:val="007F07EA"/>
    <w:rsid w:val="007F1163"/>
    <w:rsid w:val="007F1A64"/>
    <w:rsid w:val="007F6A40"/>
    <w:rsid w:val="007F7E76"/>
    <w:rsid w:val="008000A9"/>
    <w:rsid w:val="00801624"/>
    <w:rsid w:val="00802FA5"/>
    <w:rsid w:val="0080741A"/>
    <w:rsid w:val="00814F3E"/>
    <w:rsid w:val="00815932"/>
    <w:rsid w:val="00816E39"/>
    <w:rsid w:val="008213C3"/>
    <w:rsid w:val="00821583"/>
    <w:rsid w:val="00822363"/>
    <w:rsid w:val="00822C9D"/>
    <w:rsid w:val="00822DC4"/>
    <w:rsid w:val="00823045"/>
    <w:rsid w:val="00823391"/>
    <w:rsid w:val="00823B3B"/>
    <w:rsid w:val="00826C06"/>
    <w:rsid w:val="00830486"/>
    <w:rsid w:val="00833808"/>
    <w:rsid w:val="008347E7"/>
    <w:rsid w:val="00843634"/>
    <w:rsid w:val="00843724"/>
    <w:rsid w:val="008438C6"/>
    <w:rsid w:val="00846D1B"/>
    <w:rsid w:val="008477A2"/>
    <w:rsid w:val="00847C4D"/>
    <w:rsid w:val="00850EB4"/>
    <w:rsid w:val="00852BAD"/>
    <w:rsid w:val="00855046"/>
    <w:rsid w:val="00856893"/>
    <w:rsid w:val="00857C39"/>
    <w:rsid w:val="0086342A"/>
    <w:rsid w:val="00863EF8"/>
    <w:rsid w:val="00864474"/>
    <w:rsid w:val="00867C89"/>
    <w:rsid w:val="008703BB"/>
    <w:rsid w:val="00870A3B"/>
    <w:rsid w:val="008717C2"/>
    <w:rsid w:val="008741A5"/>
    <w:rsid w:val="0087673B"/>
    <w:rsid w:val="00876F78"/>
    <w:rsid w:val="00881F64"/>
    <w:rsid w:val="00882E0A"/>
    <w:rsid w:val="00885420"/>
    <w:rsid w:val="0088566C"/>
    <w:rsid w:val="00885896"/>
    <w:rsid w:val="00885CCB"/>
    <w:rsid w:val="008864C7"/>
    <w:rsid w:val="00886B60"/>
    <w:rsid w:val="008925C8"/>
    <w:rsid w:val="0089535D"/>
    <w:rsid w:val="00897198"/>
    <w:rsid w:val="0089739F"/>
    <w:rsid w:val="00897C71"/>
    <w:rsid w:val="008A03DD"/>
    <w:rsid w:val="008A125B"/>
    <w:rsid w:val="008A3B79"/>
    <w:rsid w:val="008A4A0F"/>
    <w:rsid w:val="008B0FE3"/>
    <w:rsid w:val="008B1F21"/>
    <w:rsid w:val="008B37E8"/>
    <w:rsid w:val="008B436D"/>
    <w:rsid w:val="008C0AB3"/>
    <w:rsid w:val="008C1AAE"/>
    <w:rsid w:val="008C2162"/>
    <w:rsid w:val="008C2BA2"/>
    <w:rsid w:val="008C2C02"/>
    <w:rsid w:val="008C5727"/>
    <w:rsid w:val="008C616D"/>
    <w:rsid w:val="008C6AD5"/>
    <w:rsid w:val="008C728D"/>
    <w:rsid w:val="008D07C2"/>
    <w:rsid w:val="008D16F1"/>
    <w:rsid w:val="008D177D"/>
    <w:rsid w:val="008D1859"/>
    <w:rsid w:val="008D1874"/>
    <w:rsid w:val="008D23C3"/>
    <w:rsid w:val="008D5F92"/>
    <w:rsid w:val="008E1202"/>
    <w:rsid w:val="008E3013"/>
    <w:rsid w:val="008E3ECC"/>
    <w:rsid w:val="008E5284"/>
    <w:rsid w:val="008E54C3"/>
    <w:rsid w:val="008E6BC1"/>
    <w:rsid w:val="008E748A"/>
    <w:rsid w:val="008E7593"/>
    <w:rsid w:val="008E75C7"/>
    <w:rsid w:val="008E76E0"/>
    <w:rsid w:val="008E7FD5"/>
    <w:rsid w:val="008F3743"/>
    <w:rsid w:val="008F3947"/>
    <w:rsid w:val="00902F04"/>
    <w:rsid w:val="009030E7"/>
    <w:rsid w:val="00903A69"/>
    <w:rsid w:val="00903C58"/>
    <w:rsid w:val="0090441B"/>
    <w:rsid w:val="00907695"/>
    <w:rsid w:val="00907B5E"/>
    <w:rsid w:val="00913702"/>
    <w:rsid w:val="00915042"/>
    <w:rsid w:val="00917EC6"/>
    <w:rsid w:val="0092298C"/>
    <w:rsid w:val="00922B08"/>
    <w:rsid w:val="00923857"/>
    <w:rsid w:val="00924AD0"/>
    <w:rsid w:val="00924EB1"/>
    <w:rsid w:val="0092766A"/>
    <w:rsid w:val="00927695"/>
    <w:rsid w:val="009277A0"/>
    <w:rsid w:val="009318E5"/>
    <w:rsid w:val="00934C53"/>
    <w:rsid w:val="00934D59"/>
    <w:rsid w:val="00935218"/>
    <w:rsid w:val="009366D4"/>
    <w:rsid w:val="00936E99"/>
    <w:rsid w:val="0093707D"/>
    <w:rsid w:val="0093718A"/>
    <w:rsid w:val="009378AD"/>
    <w:rsid w:val="009444AD"/>
    <w:rsid w:val="00946D1C"/>
    <w:rsid w:val="00947A6C"/>
    <w:rsid w:val="00950C14"/>
    <w:rsid w:val="009530E9"/>
    <w:rsid w:val="0095428F"/>
    <w:rsid w:val="00954E4C"/>
    <w:rsid w:val="00955E8B"/>
    <w:rsid w:val="00957FC2"/>
    <w:rsid w:val="00960E4F"/>
    <w:rsid w:val="00961A3B"/>
    <w:rsid w:val="00962551"/>
    <w:rsid w:val="0096284E"/>
    <w:rsid w:val="00963AD4"/>
    <w:rsid w:val="00964241"/>
    <w:rsid w:val="0096675E"/>
    <w:rsid w:val="00972BEE"/>
    <w:rsid w:val="009753EB"/>
    <w:rsid w:val="0097597F"/>
    <w:rsid w:val="0097633B"/>
    <w:rsid w:val="00976FF6"/>
    <w:rsid w:val="0098062B"/>
    <w:rsid w:val="00981A6F"/>
    <w:rsid w:val="00984246"/>
    <w:rsid w:val="00985D16"/>
    <w:rsid w:val="009862A5"/>
    <w:rsid w:val="00990997"/>
    <w:rsid w:val="00993043"/>
    <w:rsid w:val="009951F2"/>
    <w:rsid w:val="00997685"/>
    <w:rsid w:val="00997A12"/>
    <w:rsid w:val="009A2CEF"/>
    <w:rsid w:val="009A3292"/>
    <w:rsid w:val="009A37F4"/>
    <w:rsid w:val="009A4E59"/>
    <w:rsid w:val="009A4FBB"/>
    <w:rsid w:val="009B0BBD"/>
    <w:rsid w:val="009B0F5B"/>
    <w:rsid w:val="009B0FC3"/>
    <w:rsid w:val="009B1DA6"/>
    <w:rsid w:val="009B28D7"/>
    <w:rsid w:val="009B3605"/>
    <w:rsid w:val="009B553F"/>
    <w:rsid w:val="009B6380"/>
    <w:rsid w:val="009B68DC"/>
    <w:rsid w:val="009B726D"/>
    <w:rsid w:val="009C0A2F"/>
    <w:rsid w:val="009C1C2F"/>
    <w:rsid w:val="009C523D"/>
    <w:rsid w:val="009D14AA"/>
    <w:rsid w:val="009D1C5E"/>
    <w:rsid w:val="009D2704"/>
    <w:rsid w:val="009D3172"/>
    <w:rsid w:val="009D5584"/>
    <w:rsid w:val="009D5732"/>
    <w:rsid w:val="009D7582"/>
    <w:rsid w:val="009E046A"/>
    <w:rsid w:val="009E24C5"/>
    <w:rsid w:val="009E2611"/>
    <w:rsid w:val="009E2652"/>
    <w:rsid w:val="009E34A0"/>
    <w:rsid w:val="009E4175"/>
    <w:rsid w:val="009E57B2"/>
    <w:rsid w:val="009E6571"/>
    <w:rsid w:val="009E7035"/>
    <w:rsid w:val="009E7729"/>
    <w:rsid w:val="009E7C67"/>
    <w:rsid w:val="009F070E"/>
    <w:rsid w:val="009F0B58"/>
    <w:rsid w:val="009F111B"/>
    <w:rsid w:val="009F18B5"/>
    <w:rsid w:val="009F2C05"/>
    <w:rsid w:val="009F4573"/>
    <w:rsid w:val="009F5953"/>
    <w:rsid w:val="009F5DBE"/>
    <w:rsid w:val="009F6446"/>
    <w:rsid w:val="00A016BD"/>
    <w:rsid w:val="00A0249E"/>
    <w:rsid w:val="00A045B3"/>
    <w:rsid w:val="00A04A2A"/>
    <w:rsid w:val="00A071DE"/>
    <w:rsid w:val="00A10030"/>
    <w:rsid w:val="00A13F04"/>
    <w:rsid w:val="00A169A3"/>
    <w:rsid w:val="00A16C43"/>
    <w:rsid w:val="00A17862"/>
    <w:rsid w:val="00A23391"/>
    <w:rsid w:val="00A23668"/>
    <w:rsid w:val="00A24300"/>
    <w:rsid w:val="00A2491B"/>
    <w:rsid w:val="00A2568C"/>
    <w:rsid w:val="00A27FEA"/>
    <w:rsid w:val="00A30BEC"/>
    <w:rsid w:val="00A328CF"/>
    <w:rsid w:val="00A34907"/>
    <w:rsid w:val="00A34AFE"/>
    <w:rsid w:val="00A35B5A"/>
    <w:rsid w:val="00A41224"/>
    <w:rsid w:val="00A42410"/>
    <w:rsid w:val="00A4472F"/>
    <w:rsid w:val="00A4583C"/>
    <w:rsid w:val="00A471A2"/>
    <w:rsid w:val="00A54339"/>
    <w:rsid w:val="00A56675"/>
    <w:rsid w:val="00A61B37"/>
    <w:rsid w:val="00A62321"/>
    <w:rsid w:val="00A6264E"/>
    <w:rsid w:val="00A64E82"/>
    <w:rsid w:val="00A66BAF"/>
    <w:rsid w:val="00A70719"/>
    <w:rsid w:val="00A70A29"/>
    <w:rsid w:val="00A70AA1"/>
    <w:rsid w:val="00A710FB"/>
    <w:rsid w:val="00A71ECA"/>
    <w:rsid w:val="00A72505"/>
    <w:rsid w:val="00A729A0"/>
    <w:rsid w:val="00A73D24"/>
    <w:rsid w:val="00A74302"/>
    <w:rsid w:val="00A758C2"/>
    <w:rsid w:val="00A77672"/>
    <w:rsid w:val="00A86267"/>
    <w:rsid w:val="00A87216"/>
    <w:rsid w:val="00A908AF"/>
    <w:rsid w:val="00A939E1"/>
    <w:rsid w:val="00A961AA"/>
    <w:rsid w:val="00A96655"/>
    <w:rsid w:val="00A96F1F"/>
    <w:rsid w:val="00A97C50"/>
    <w:rsid w:val="00AA1C6E"/>
    <w:rsid w:val="00AA1E54"/>
    <w:rsid w:val="00AA3101"/>
    <w:rsid w:val="00AA4436"/>
    <w:rsid w:val="00AA5A20"/>
    <w:rsid w:val="00AA6FBC"/>
    <w:rsid w:val="00AB0194"/>
    <w:rsid w:val="00AB03FD"/>
    <w:rsid w:val="00AB040B"/>
    <w:rsid w:val="00AB0A84"/>
    <w:rsid w:val="00AB23F3"/>
    <w:rsid w:val="00AB3015"/>
    <w:rsid w:val="00AB3FBE"/>
    <w:rsid w:val="00AB55EE"/>
    <w:rsid w:val="00AB5ABB"/>
    <w:rsid w:val="00AC12B1"/>
    <w:rsid w:val="00AC217F"/>
    <w:rsid w:val="00AC3A4A"/>
    <w:rsid w:val="00AC6399"/>
    <w:rsid w:val="00AC64D4"/>
    <w:rsid w:val="00AD2FF9"/>
    <w:rsid w:val="00AD5094"/>
    <w:rsid w:val="00AD7A96"/>
    <w:rsid w:val="00AD7C26"/>
    <w:rsid w:val="00AE0F26"/>
    <w:rsid w:val="00AE12BB"/>
    <w:rsid w:val="00AE1742"/>
    <w:rsid w:val="00AE3E4E"/>
    <w:rsid w:val="00AE484F"/>
    <w:rsid w:val="00AE6F77"/>
    <w:rsid w:val="00AF18CD"/>
    <w:rsid w:val="00AF27C4"/>
    <w:rsid w:val="00AF2A54"/>
    <w:rsid w:val="00AF2BE2"/>
    <w:rsid w:val="00AF448E"/>
    <w:rsid w:val="00AF670C"/>
    <w:rsid w:val="00AF695C"/>
    <w:rsid w:val="00B01561"/>
    <w:rsid w:val="00B05114"/>
    <w:rsid w:val="00B07C30"/>
    <w:rsid w:val="00B11468"/>
    <w:rsid w:val="00B168C9"/>
    <w:rsid w:val="00B17002"/>
    <w:rsid w:val="00B17478"/>
    <w:rsid w:val="00B201DF"/>
    <w:rsid w:val="00B20451"/>
    <w:rsid w:val="00B211E4"/>
    <w:rsid w:val="00B2285D"/>
    <w:rsid w:val="00B24EA1"/>
    <w:rsid w:val="00B25DB8"/>
    <w:rsid w:val="00B2709D"/>
    <w:rsid w:val="00B30572"/>
    <w:rsid w:val="00B3348C"/>
    <w:rsid w:val="00B34CA4"/>
    <w:rsid w:val="00B35309"/>
    <w:rsid w:val="00B37CC2"/>
    <w:rsid w:val="00B37F4F"/>
    <w:rsid w:val="00B40877"/>
    <w:rsid w:val="00B42C60"/>
    <w:rsid w:val="00B43582"/>
    <w:rsid w:val="00B44508"/>
    <w:rsid w:val="00B44729"/>
    <w:rsid w:val="00B45825"/>
    <w:rsid w:val="00B461BB"/>
    <w:rsid w:val="00B461C4"/>
    <w:rsid w:val="00B51D19"/>
    <w:rsid w:val="00B52D56"/>
    <w:rsid w:val="00B53756"/>
    <w:rsid w:val="00B55CE8"/>
    <w:rsid w:val="00B570AA"/>
    <w:rsid w:val="00B57522"/>
    <w:rsid w:val="00B604F5"/>
    <w:rsid w:val="00B62D7C"/>
    <w:rsid w:val="00B63405"/>
    <w:rsid w:val="00B656A9"/>
    <w:rsid w:val="00B67717"/>
    <w:rsid w:val="00B67F64"/>
    <w:rsid w:val="00B73C93"/>
    <w:rsid w:val="00B76B79"/>
    <w:rsid w:val="00B80F5B"/>
    <w:rsid w:val="00B814AE"/>
    <w:rsid w:val="00B820C8"/>
    <w:rsid w:val="00B82C0B"/>
    <w:rsid w:val="00B84302"/>
    <w:rsid w:val="00B86511"/>
    <w:rsid w:val="00B8684C"/>
    <w:rsid w:val="00B86B03"/>
    <w:rsid w:val="00B8711C"/>
    <w:rsid w:val="00B87834"/>
    <w:rsid w:val="00B90145"/>
    <w:rsid w:val="00B9099B"/>
    <w:rsid w:val="00B918A0"/>
    <w:rsid w:val="00B96B8F"/>
    <w:rsid w:val="00B97E94"/>
    <w:rsid w:val="00B97F10"/>
    <w:rsid w:val="00BA1368"/>
    <w:rsid w:val="00BA152E"/>
    <w:rsid w:val="00BA277D"/>
    <w:rsid w:val="00BA3BE4"/>
    <w:rsid w:val="00BA5F9F"/>
    <w:rsid w:val="00BA6859"/>
    <w:rsid w:val="00BA75E3"/>
    <w:rsid w:val="00BA7998"/>
    <w:rsid w:val="00BB01BE"/>
    <w:rsid w:val="00BB3B23"/>
    <w:rsid w:val="00BB4940"/>
    <w:rsid w:val="00BB4EAE"/>
    <w:rsid w:val="00BB7E31"/>
    <w:rsid w:val="00BB7F19"/>
    <w:rsid w:val="00BC1081"/>
    <w:rsid w:val="00BC4514"/>
    <w:rsid w:val="00BC4806"/>
    <w:rsid w:val="00BC49DA"/>
    <w:rsid w:val="00BC7177"/>
    <w:rsid w:val="00BD1BDC"/>
    <w:rsid w:val="00BD1CF0"/>
    <w:rsid w:val="00BD1FEE"/>
    <w:rsid w:val="00BD6642"/>
    <w:rsid w:val="00BD78E9"/>
    <w:rsid w:val="00BE2694"/>
    <w:rsid w:val="00BE3378"/>
    <w:rsid w:val="00BE3966"/>
    <w:rsid w:val="00BE6552"/>
    <w:rsid w:val="00BE67A1"/>
    <w:rsid w:val="00BF1D4C"/>
    <w:rsid w:val="00BF1FEF"/>
    <w:rsid w:val="00BF3D46"/>
    <w:rsid w:val="00BF3D4E"/>
    <w:rsid w:val="00BF4CB6"/>
    <w:rsid w:val="00BF7618"/>
    <w:rsid w:val="00BF7FFD"/>
    <w:rsid w:val="00C00172"/>
    <w:rsid w:val="00C1049E"/>
    <w:rsid w:val="00C10600"/>
    <w:rsid w:val="00C109C3"/>
    <w:rsid w:val="00C11507"/>
    <w:rsid w:val="00C1244C"/>
    <w:rsid w:val="00C1369B"/>
    <w:rsid w:val="00C13CA9"/>
    <w:rsid w:val="00C1455E"/>
    <w:rsid w:val="00C15214"/>
    <w:rsid w:val="00C17108"/>
    <w:rsid w:val="00C21464"/>
    <w:rsid w:val="00C224AD"/>
    <w:rsid w:val="00C23173"/>
    <w:rsid w:val="00C23FC9"/>
    <w:rsid w:val="00C2411C"/>
    <w:rsid w:val="00C24A23"/>
    <w:rsid w:val="00C31BD2"/>
    <w:rsid w:val="00C31C3E"/>
    <w:rsid w:val="00C327BC"/>
    <w:rsid w:val="00C32F47"/>
    <w:rsid w:val="00C352D2"/>
    <w:rsid w:val="00C35470"/>
    <w:rsid w:val="00C36038"/>
    <w:rsid w:val="00C40F17"/>
    <w:rsid w:val="00C44DE5"/>
    <w:rsid w:val="00C44E5B"/>
    <w:rsid w:val="00C46249"/>
    <w:rsid w:val="00C50F4E"/>
    <w:rsid w:val="00C56E71"/>
    <w:rsid w:val="00C611A7"/>
    <w:rsid w:val="00C61366"/>
    <w:rsid w:val="00C613DE"/>
    <w:rsid w:val="00C6240D"/>
    <w:rsid w:val="00C640D8"/>
    <w:rsid w:val="00C64399"/>
    <w:rsid w:val="00C653B9"/>
    <w:rsid w:val="00C66E9B"/>
    <w:rsid w:val="00C70F1E"/>
    <w:rsid w:val="00C71B6C"/>
    <w:rsid w:val="00C81DB6"/>
    <w:rsid w:val="00C8350F"/>
    <w:rsid w:val="00C841DC"/>
    <w:rsid w:val="00C84318"/>
    <w:rsid w:val="00C8451A"/>
    <w:rsid w:val="00C85E20"/>
    <w:rsid w:val="00C85E30"/>
    <w:rsid w:val="00C8601A"/>
    <w:rsid w:val="00C905BC"/>
    <w:rsid w:val="00C9135C"/>
    <w:rsid w:val="00C9603B"/>
    <w:rsid w:val="00C96402"/>
    <w:rsid w:val="00C9770F"/>
    <w:rsid w:val="00C97D76"/>
    <w:rsid w:val="00CA0238"/>
    <w:rsid w:val="00CA188F"/>
    <w:rsid w:val="00CA23F2"/>
    <w:rsid w:val="00CA2463"/>
    <w:rsid w:val="00CA2C44"/>
    <w:rsid w:val="00CA357D"/>
    <w:rsid w:val="00CA3E11"/>
    <w:rsid w:val="00CA425D"/>
    <w:rsid w:val="00CA650F"/>
    <w:rsid w:val="00CA6C4D"/>
    <w:rsid w:val="00CA74FD"/>
    <w:rsid w:val="00CB01C7"/>
    <w:rsid w:val="00CB0603"/>
    <w:rsid w:val="00CB148D"/>
    <w:rsid w:val="00CB1FE9"/>
    <w:rsid w:val="00CB2613"/>
    <w:rsid w:val="00CB47FD"/>
    <w:rsid w:val="00CB5305"/>
    <w:rsid w:val="00CB66E1"/>
    <w:rsid w:val="00CB70D8"/>
    <w:rsid w:val="00CB78E8"/>
    <w:rsid w:val="00CB7F34"/>
    <w:rsid w:val="00CC03F1"/>
    <w:rsid w:val="00CC3CBE"/>
    <w:rsid w:val="00CC3F0C"/>
    <w:rsid w:val="00CC5023"/>
    <w:rsid w:val="00CC5AA3"/>
    <w:rsid w:val="00CD06BF"/>
    <w:rsid w:val="00CD13E1"/>
    <w:rsid w:val="00CD305F"/>
    <w:rsid w:val="00CD3596"/>
    <w:rsid w:val="00CD3839"/>
    <w:rsid w:val="00CD3887"/>
    <w:rsid w:val="00CD3CA4"/>
    <w:rsid w:val="00CD6230"/>
    <w:rsid w:val="00CD720D"/>
    <w:rsid w:val="00CE01E6"/>
    <w:rsid w:val="00CE2A8A"/>
    <w:rsid w:val="00CE3271"/>
    <w:rsid w:val="00CE6226"/>
    <w:rsid w:val="00CF0B09"/>
    <w:rsid w:val="00CF4FF6"/>
    <w:rsid w:val="00CF5DC7"/>
    <w:rsid w:val="00CF5FD0"/>
    <w:rsid w:val="00CF619F"/>
    <w:rsid w:val="00CF67E3"/>
    <w:rsid w:val="00D02126"/>
    <w:rsid w:val="00D03D22"/>
    <w:rsid w:val="00D0414D"/>
    <w:rsid w:val="00D066CF"/>
    <w:rsid w:val="00D06DFF"/>
    <w:rsid w:val="00D07844"/>
    <w:rsid w:val="00D1010D"/>
    <w:rsid w:val="00D11CB3"/>
    <w:rsid w:val="00D12340"/>
    <w:rsid w:val="00D128FB"/>
    <w:rsid w:val="00D12CBC"/>
    <w:rsid w:val="00D140B2"/>
    <w:rsid w:val="00D14FD0"/>
    <w:rsid w:val="00D15543"/>
    <w:rsid w:val="00D15C47"/>
    <w:rsid w:val="00D175B3"/>
    <w:rsid w:val="00D234A6"/>
    <w:rsid w:val="00D26EEA"/>
    <w:rsid w:val="00D2738A"/>
    <w:rsid w:val="00D278B3"/>
    <w:rsid w:val="00D31AB9"/>
    <w:rsid w:val="00D321EF"/>
    <w:rsid w:val="00D327F7"/>
    <w:rsid w:val="00D32929"/>
    <w:rsid w:val="00D33531"/>
    <w:rsid w:val="00D34A03"/>
    <w:rsid w:val="00D36670"/>
    <w:rsid w:val="00D37504"/>
    <w:rsid w:val="00D413CA"/>
    <w:rsid w:val="00D413E6"/>
    <w:rsid w:val="00D41893"/>
    <w:rsid w:val="00D425A0"/>
    <w:rsid w:val="00D429E3"/>
    <w:rsid w:val="00D443C5"/>
    <w:rsid w:val="00D44B33"/>
    <w:rsid w:val="00D44F90"/>
    <w:rsid w:val="00D46E6D"/>
    <w:rsid w:val="00D50A9A"/>
    <w:rsid w:val="00D51994"/>
    <w:rsid w:val="00D520F8"/>
    <w:rsid w:val="00D53B76"/>
    <w:rsid w:val="00D56950"/>
    <w:rsid w:val="00D572E3"/>
    <w:rsid w:val="00D576E5"/>
    <w:rsid w:val="00D5796F"/>
    <w:rsid w:val="00D62FC7"/>
    <w:rsid w:val="00D638CF"/>
    <w:rsid w:val="00D65AA5"/>
    <w:rsid w:val="00D65FDF"/>
    <w:rsid w:val="00D741FB"/>
    <w:rsid w:val="00D74880"/>
    <w:rsid w:val="00D76E1D"/>
    <w:rsid w:val="00D770C6"/>
    <w:rsid w:val="00D80818"/>
    <w:rsid w:val="00D82725"/>
    <w:rsid w:val="00D8403F"/>
    <w:rsid w:val="00D84C96"/>
    <w:rsid w:val="00D853A3"/>
    <w:rsid w:val="00D86B85"/>
    <w:rsid w:val="00D87B7C"/>
    <w:rsid w:val="00D91A3E"/>
    <w:rsid w:val="00D9233A"/>
    <w:rsid w:val="00D93D8D"/>
    <w:rsid w:val="00D94A3D"/>
    <w:rsid w:val="00D976F2"/>
    <w:rsid w:val="00DA00D9"/>
    <w:rsid w:val="00DA1A4D"/>
    <w:rsid w:val="00DA1E8F"/>
    <w:rsid w:val="00DA5B1A"/>
    <w:rsid w:val="00DA69B0"/>
    <w:rsid w:val="00DB029C"/>
    <w:rsid w:val="00DB12A7"/>
    <w:rsid w:val="00DB440D"/>
    <w:rsid w:val="00DB5379"/>
    <w:rsid w:val="00DB6423"/>
    <w:rsid w:val="00DB6CD0"/>
    <w:rsid w:val="00DC14A1"/>
    <w:rsid w:val="00DC17AE"/>
    <w:rsid w:val="00DC3415"/>
    <w:rsid w:val="00DC3BFF"/>
    <w:rsid w:val="00DC5E7C"/>
    <w:rsid w:val="00DC6A65"/>
    <w:rsid w:val="00DD64EC"/>
    <w:rsid w:val="00DD70CE"/>
    <w:rsid w:val="00DD7935"/>
    <w:rsid w:val="00DD7B43"/>
    <w:rsid w:val="00DE1E56"/>
    <w:rsid w:val="00DE27F0"/>
    <w:rsid w:val="00DE3BD2"/>
    <w:rsid w:val="00DE4ED9"/>
    <w:rsid w:val="00DE649E"/>
    <w:rsid w:val="00DF1D05"/>
    <w:rsid w:val="00DF3B81"/>
    <w:rsid w:val="00DF64D7"/>
    <w:rsid w:val="00DF6710"/>
    <w:rsid w:val="00E004FB"/>
    <w:rsid w:val="00E00E8A"/>
    <w:rsid w:val="00E012B4"/>
    <w:rsid w:val="00E03623"/>
    <w:rsid w:val="00E03E15"/>
    <w:rsid w:val="00E03FA6"/>
    <w:rsid w:val="00E04BAE"/>
    <w:rsid w:val="00E05198"/>
    <w:rsid w:val="00E05EE5"/>
    <w:rsid w:val="00E0663F"/>
    <w:rsid w:val="00E1004C"/>
    <w:rsid w:val="00E10720"/>
    <w:rsid w:val="00E108F8"/>
    <w:rsid w:val="00E11348"/>
    <w:rsid w:val="00E1245E"/>
    <w:rsid w:val="00E1484B"/>
    <w:rsid w:val="00E14D8D"/>
    <w:rsid w:val="00E20E37"/>
    <w:rsid w:val="00E2347A"/>
    <w:rsid w:val="00E24995"/>
    <w:rsid w:val="00E255D8"/>
    <w:rsid w:val="00E3063C"/>
    <w:rsid w:val="00E3256D"/>
    <w:rsid w:val="00E33A9F"/>
    <w:rsid w:val="00E350BF"/>
    <w:rsid w:val="00E35368"/>
    <w:rsid w:val="00E36791"/>
    <w:rsid w:val="00E415E2"/>
    <w:rsid w:val="00E41ADB"/>
    <w:rsid w:val="00E43106"/>
    <w:rsid w:val="00E43A4F"/>
    <w:rsid w:val="00E44D28"/>
    <w:rsid w:val="00E453DE"/>
    <w:rsid w:val="00E454C3"/>
    <w:rsid w:val="00E46BD0"/>
    <w:rsid w:val="00E46C97"/>
    <w:rsid w:val="00E46D8D"/>
    <w:rsid w:val="00E47099"/>
    <w:rsid w:val="00E47618"/>
    <w:rsid w:val="00E50EC1"/>
    <w:rsid w:val="00E520DC"/>
    <w:rsid w:val="00E52BBF"/>
    <w:rsid w:val="00E530C3"/>
    <w:rsid w:val="00E53991"/>
    <w:rsid w:val="00E53DB8"/>
    <w:rsid w:val="00E563AF"/>
    <w:rsid w:val="00E56A09"/>
    <w:rsid w:val="00E56EB4"/>
    <w:rsid w:val="00E57AF0"/>
    <w:rsid w:val="00E62350"/>
    <w:rsid w:val="00E62EF4"/>
    <w:rsid w:val="00E633E9"/>
    <w:rsid w:val="00E633ED"/>
    <w:rsid w:val="00E6718C"/>
    <w:rsid w:val="00E701FE"/>
    <w:rsid w:val="00E70DE6"/>
    <w:rsid w:val="00E71E44"/>
    <w:rsid w:val="00E772B0"/>
    <w:rsid w:val="00E803F4"/>
    <w:rsid w:val="00E81979"/>
    <w:rsid w:val="00E81DFC"/>
    <w:rsid w:val="00E82B63"/>
    <w:rsid w:val="00E863A7"/>
    <w:rsid w:val="00E90186"/>
    <w:rsid w:val="00E91C34"/>
    <w:rsid w:val="00E92469"/>
    <w:rsid w:val="00E94506"/>
    <w:rsid w:val="00E94C8D"/>
    <w:rsid w:val="00E972B0"/>
    <w:rsid w:val="00E97A9D"/>
    <w:rsid w:val="00EA0C4E"/>
    <w:rsid w:val="00EA10C2"/>
    <w:rsid w:val="00EA1181"/>
    <w:rsid w:val="00EA1880"/>
    <w:rsid w:val="00EA28AA"/>
    <w:rsid w:val="00EA576C"/>
    <w:rsid w:val="00EA6CC5"/>
    <w:rsid w:val="00EA6F5E"/>
    <w:rsid w:val="00EA7E90"/>
    <w:rsid w:val="00EB1217"/>
    <w:rsid w:val="00EB258E"/>
    <w:rsid w:val="00EC5D38"/>
    <w:rsid w:val="00EC5DDC"/>
    <w:rsid w:val="00EC6607"/>
    <w:rsid w:val="00EC6F3A"/>
    <w:rsid w:val="00ED0796"/>
    <w:rsid w:val="00ED0966"/>
    <w:rsid w:val="00ED0F0F"/>
    <w:rsid w:val="00ED2F28"/>
    <w:rsid w:val="00ED4290"/>
    <w:rsid w:val="00ED6DE3"/>
    <w:rsid w:val="00EE2F11"/>
    <w:rsid w:val="00EE308D"/>
    <w:rsid w:val="00EE3953"/>
    <w:rsid w:val="00EE3C1F"/>
    <w:rsid w:val="00EE411F"/>
    <w:rsid w:val="00EE624E"/>
    <w:rsid w:val="00EE6BE1"/>
    <w:rsid w:val="00EE6EC3"/>
    <w:rsid w:val="00EE6FB0"/>
    <w:rsid w:val="00EE7B2E"/>
    <w:rsid w:val="00EE7CA0"/>
    <w:rsid w:val="00EF244D"/>
    <w:rsid w:val="00EF2AA2"/>
    <w:rsid w:val="00EF3897"/>
    <w:rsid w:val="00EF3C23"/>
    <w:rsid w:val="00EF3F41"/>
    <w:rsid w:val="00EF46B3"/>
    <w:rsid w:val="00EF5BEA"/>
    <w:rsid w:val="00EF5E30"/>
    <w:rsid w:val="00EF7696"/>
    <w:rsid w:val="00EF7BC2"/>
    <w:rsid w:val="00F0033A"/>
    <w:rsid w:val="00F03A7D"/>
    <w:rsid w:val="00F0443B"/>
    <w:rsid w:val="00F0501A"/>
    <w:rsid w:val="00F05A4E"/>
    <w:rsid w:val="00F06648"/>
    <w:rsid w:val="00F154C2"/>
    <w:rsid w:val="00F15F02"/>
    <w:rsid w:val="00F20808"/>
    <w:rsid w:val="00F221DB"/>
    <w:rsid w:val="00F224AF"/>
    <w:rsid w:val="00F22FFD"/>
    <w:rsid w:val="00F23CCF"/>
    <w:rsid w:val="00F24C25"/>
    <w:rsid w:val="00F26B2A"/>
    <w:rsid w:val="00F333F6"/>
    <w:rsid w:val="00F339A1"/>
    <w:rsid w:val="00F3491A"/>
    <w:rsid w:val="00F34DD6"/>
    <w:rsid w:val="00F41D30"/>
    <w:rsid w:val="00F44AF2"/>
    <w:rsid w:val="00F45F66"/>
    <w:rsid w:val="00F476FF"/>
    <w:rsid w:val="00F51F0F"/>
    <w:rsid w:val="00F52987"/>
    <w:rsid w:val="00F5386C"/>
    <w:rsid w:val="00F56E0D"/>
    <w:rsid w:val="00F60D9E"/>
    <w:rsid w:val="00F62383"/>
    <w:rsid w:val="00F6532F"/>
    <w:rsid w:val="00F6776F"/>
    <w:rsid w:val="00F70611"/>
    <w:rsid w:val="00F72E49"/>
    <w:rsid w:val="00F7637A"/>
    <w:rsid w:val="00F813D0"/>
    <w:rsid w:val="00F8321F"/>
    <w:rsid w:val="00F83CFA"/>
    <w:rsid w:val="00F84AAA"/>
    <w:rsid w:val="00F856C8"/>
    <w:rsid w:val="00F856ED"/>
    <w:rsid w:val="00F91C89"/>
    <w:rsid w:val="00F92141"/>
    <w:rsid w:val="00F92491"/>
    <w:rsid w:val="00F92937"/>
    <w:rsid w:val="00F9304C"/>
    <w:rsid w:val="00F95463"/>
    <w:rsid w:val="00F97E11"/>
    <w:rsid w:val="00FA298B"/>
    <w:rsid w:val="00FA4EE2"/>
    <w:rsid w:val="00FA5C2E"/>
    <w:rsid w:val="00FA6896"/>
    <w:rsid w:val="00FA6F22"/>
    <w:rsid w:val="00FA7840"/>
    <w:rsid w:val="00FB329B"/>
    <w:rsid w:val="00FB55D4"/>
    <w:rsid w:val="00FB681F"/>
    <w:rsid w:val="00FB7318"/>
    <w:rsid w:val="00FC241F"/>
    <w:rsid w:val="00FC32E0"/>
    <w:rsid w:val="00FC48E7"/>
    <w:rsid w:val="00FC646B"/>
    <w:rsid w:val="00FC782B"/>
    <w:rsid w:val="00FD3CD9"/>
    <w:rsid w:val="00FD52A9"/>
    <w:rsid w:val="00FE1130"/>
    <w:rsid w:val="00FE7220"/>
    <w:rsid w:val="00FE7DFF"/>
    <w:rsid w:val="00FF301C"/>
    <w:rsid w:val="00FF30E0"/>
    <w:rsid w:val="00FF6AA9"/>
    <w:rsid w:val="00FF7AC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27ACAD"/>
  <w15:docId w15:val="{CAE4A281-84C5-4780-9673-B988AE10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4C2"/>
    <w:rPr>
      <w:sz w:val="24"/>
      <w:szCs w:val="24"/>
      <w:lang w:eastAsia="en-US"/>
    </w:rPr>
  </w:style>
  <w:style w:type="paragraph" w:styleId="Heading2">
    <w:name w:val="heading 2"/>
    <w:basedOn w:val="Normal"/>
    <w:next w:val="Normal"/>
    <w:link w:val="Heading2Char"/>
    <w:semiHidden/>
    <w:unhideWhenUsed/>
    <w:qFormat/>
    <w:rsid w:val="004054A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054A1"/>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FB329B"/>
    <w:pPr>
      <w:keepNext/>
      <w:ind w:left="-108" w:right="-108"/>
      <w:outlineLvl w:val="5"/>
    </w:pPr>
    <w:rPr>
      <w:i/>
      <w:iCs/>
      <w:sz w:val="20"/>
    </w:rPr>
  </w:style>
  <w:style w:type="paragraph" w:styleId="Heading7">
    <w:name w:val="heading 7"/>
    <w:basedOn w:val="Normal"/>
    <w:next w:val="Normal"/>
    <w:qFormat/>
    <w:rsid w:val="00FB329B"/>
    <w:pPr>
      <w:keepNext/>
      <w:ind w:left="252"/>
      <w:outlineLvl w:val="6"/>
    </w:pPr>
    <w:rPr>
      <w:i/>
      <w:iCs/>
      <w:sz w:val="20"/>
    </w:rPr>
  </w:style>
  <w:style w:type="paragraph" w:styleId="Heading8">
    <w:name w:val="heading 8"/>
    <w:basedOn w:val="Normal"/>
    <w:next w:val="Normal"/>
    <w:qFormat/>
    <w:rsid w:val="00FB329B"/>
    <w:pPr>
      <w:keepNext/>
      <w:ind w:left="-108"/>
      <w:outlineLvl w:val="7"/>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22C9D"/>
    <w:pPr>
      <w:tabs>
        <w:tab w:val="center" w:pos="4153"/>
        <w:tab w:val="right" w:pos="8306"/>
      </w:tabs>
    </w:pPr>
  </w:style>
  <w:style w:type="paragraph" w:styleId="Footer">
    <w:name w:val="footer"/>
    <w:basedOn w:val="Normal"/>
    <w:rsid w:val="00822C9D"/>
    <w:pPr>
      <w:tabs>
        <w:tab w:val="center" w:pos="4153"/>
        <w:tab w:val="right" w:pos="8306"/>
      </w:tabs>
    </w:pPr>
  </w:style>
  <w:style w:type="paragraph" w:styleId="BodyTextIndent">
    <w:name w:val="Body Text Indent"/>
    <w:basedOn w:val="Normal"/>
    <w:link w:val="BodyTextIndentChar"/>
    <w:rsid w:val="00822C9D"/>
    <w:pPr>
      <w:autoSpaceDE w:val="0"/>
      <w:autoSpaceDN w:val="0"/>
      <w:adjustRightInd w:val="0"/>
      <w:spacing w:line="300" w:lineRule="atLeast"/>
      <w:ind w:firstLine="720"/>
      <w:jc w:val="both"/>
    </w:pPr>
  </w:style>
  <w:style w:type="paragraph" w:styleId="Title">
    <w:name w:val="Title"/>
    <w:basedOn w:val="Normal"/>
    <w:qFormat/>
    <w:rsid w:val="00822C9D"/>
    <w:pPr>
      <w:autoSpaceDE w:val="0"/>
      <w:autoSpaceDN w:val="0"/>
      <w:adjustRightInd w:val="0"/>
      <w:spacing w:line="300" w:lineRule="atLeast"/>
      <w:jc w:val="center"/>
    </w:pPr>
    <w:rPr>
      <w:b/>
      <w:bCs/>
    </w:rPr>
  </w:style>
  <w:style w:type="paragraph" w:styleId="BodyTextIndent2">
    <w:name w:val="Body Text Indent 2"/>
    <w:basedOn w:val="Normal"/>
    <w:rsid w:val="00822C9D"/>
    <w:pPr>
      <w:autoSpaceDE w:val="0"/>
      <w:autoSpaceDN w:val="0"/>
      <w:adjustRightInd w:val="0"/>
      <w:ind w:left="720"/>
      <w:jc w:val="both"/>
    </w:pPr>
  </w:style>
  <w:style w:type="paragraph" w:customStyle="1" w:styleId="Lygis1">
    <w:name w:val="Lygis1"/>
    <w:basedOn w:val="Normal"/>
    <w:rsid w:val="00822C9D"/>
    <w:pPr>
      <w:spacing w:before="100" w:beforeAutospacing="1" w:after="100" w:afterAutospacing="1"/>
      <w:jc w:val="center"/>
    </w:pPr>
  </w:style>
  <w:style w:type="paragraph" w:styleId="BalloonText">
    <w:name w:val="Balloon Text"/>
    <w:basedOn w:val="Normal"/>
    <w:semiHidden/>
    <w:rsid w:val="00EA10C2"/>
    <w:rPr>
      <w:rFonts w:ascii="Tahoma" w:hAnsi="Tahoma" w:cs="Tahoma"/>
      <w:sz w:val="16"/>
      <w:szCs w:val="16"/>
    </w:rPr>
  </w:style>
  <w:style w:type="paragraph" w:customStyle="1" w:styleId="BodyText1">
    <w:name w:val="Body Text1"/>
    <w:rsid w:val="00380F9B"/>
    <w:pPr>
      <w:autoSpaceDE w:val="0"/>
      <w:autoSpaceDN w:val="0"/>
      <w:adjustRightInd w:val="0"/>
      <w:ind w:firstLine="312"/>
      <w:jc w:val="both"/>
    </w:pPr>
    <w:rPr>
      <w:rFonts w:ascii="TimesLT" w:hAnsi="TimesLT"/>
      <w:lang w:val="en-US" w:eastAsia="en-US"/>
    </w:rPr>
  </w:style>
  <w:style w:type="paragraph" w:customStyle="1" w:styleId="MAZAS">
    <w:name w:val="MAZAS"/>
    <w:rsid w:val="00380F9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rsid w:val="009B5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8B1F21"/>
    <w:pPr>
      <w:spacing w:after="120" w:line="480" w:lineRule="auto"/>
    </w:pPr>
  </w:style>
  <w:style w:type="character" w:customStyle="1" w:styleId="BodyText2Char">
    <w:name w:val="Body Text 2 Char"/>
    <w:link w:val="BodyText2"/>
    <w:rsid w:val="008B1F21"/>
    <w:rPr>
      <w:sz w:val="24"/>
      <w:szCs w:val="24"/>
      <w:lang w:eastAsia="en-US"/>
    </w:rPr>
  </w:style>
  <w:style w:type="paragraph" w:styleId="FootnoteText">
    <w:name w:val="footnote text"/>
    <w:aliases w:val="footnote text + Times: 9 Point,fn,(NECG) Footnote Text,ALTS FOOTNOTE,AR Footnote Text,S_footer,ft,Char Char,Car,Texto nota pie Car,Char Char Char,Footnote Text Char2 Char,Footnote Text Char Char Char1,Footnote Text Char "/>
    <w:basedOn w:val="Normal"/>
    <w:link w:val="FootnoteTextChar"/>
    <w:uiPriority w:val="99"/>
    <w:qFormat/>
    <w:rsid w:val="009E34A0"/>
    <w:rPr>
      <w:sz w:val="20"/>
      <w:szCs w:val="20"/>
    </w:rPr>
  </w:style>
  <w:style w:type="character" w:customStyle="1" w:styleId="FootnoteTextChar">
    <w:name w:val="Footnote Text Char"/>
    <w:aliases w:val="footnote text + Times: 9 Point Char,fn Char,(NECG) Footnote Text Char,ALTS FOOTNOTE Char,AR Footnote Text Char,S_footer Char,ft Char,Char Char Char1,Car Char,Texto nota pie Car Char,Char Char Char Char,Footnote Text Char2 Char Char"/>
    <w:link w:val="FootnoteText"/>
    <w:uiPriority w:val="99"/>
    <w:rsid w:val="009E34A0"/>
    <w:rPr>
      <w:lang w:eastAsia="en-US"/>
    </w:rPr>
  </w:style>
  <w:style w:type="character" w:styleId="FootnoteReference">
    <w:name w:val="footnote reference"/>
    <w:aliases w:val="fr,(NECG) Footnote Reference,o,Ref,de nota al pie,Puslapio išnašos nuoroda1"/>
    <w:uiPriority w:val="99"/>
    <w:rsid w:val="009E34A0"/>
    <w:rPr>
      <w:vertAlign w:val="superscript"/>
    </w:rPr>
  </w:style>
  <w:style w:type="paragraph" w:styleId="ListParagraph">
    <w:name w:val="List Paragraph"/>
    <w:basedOn w:val="Normal"/>
    <w:link w:val="ListParagraphChar"/>
    <w:uiPriority w:val="34"/>
    <w:qFormat/>
    <w:rsid w:val="00801624"/>
    <w:pPr>
      <w:ind w:left="720"/>
      <w:contextualSpacing/>
    </w:pPr>
  </w:style>
  <w:style w:type="paragraph" w:styleId="BodyText">
    <w:name w:val="Body Text"/>
    <w:basedOn w:val="Normal"/>
    <w:link w:val="BodyTextChar"/>
    <w:rsid w:val="00681344"/>
    <w:pPr>
      <w:spacing w:after="120"/>
    </w:pPr>
  </w:style>
  <w:style w:type="character" w:customStyle="1" w:styleId="BodyTextChar">
    <w:name w:val="Body Text Char"/>
    <w:link w:val="BodyText"/>
    <w:rsid w:val="00681344"/>
    <w:rPr>
      <w:sz w:val="24"/>
      <w:szCs w:val="24"/>
      <w:lang w:eastAsia="en-US"/>
    </w:rPr>
  </w:style>
  <w:style w:type="character" w:styleId="CommentReference">
    <w:name w:val="annotation reference"/>
    <w:rsid w:val="005A009F"/>
    <w:rPr>
      <w:sz w:val="16"/>
      <w:szCs w:val="16"/>
    </w:rPr>
  </w:style>
  <w:style w:type="paragraph" w:styleId="CommentText">
    <w:name w:val="annotation text"/>
    <w:basedOn w:val="Normal"/>
    <w:link w:val="CommentTextChar"/>
    <w:uiPriority w:val="99"/>
    <w:rsid w:val="005A009F"/>
    <w:rPr>
      <w:sz w:val="20"/>
      <w:szCs w:val="20"/>
    </w:rPr>
  </w:style>
  <w:style w:type="character" w:customStyle="1" w:styleId="CommentTextChar">
    <w:name w:val="Comment Text Char"/>
    <w:link w:val="CommentText"/>
    <w:uiPriority w:val="99"/>
    <w:rsid w:val="005A009F"/>
    <w:rPr>
      <w:lang w:eastAsia="en-US"/>
    </w:rPr>
  </w:style>
  <w:style w:type="paragraph" w:styleId="CommentSubject">
    <w:name w:val="annotation subject"/>
    <w:basedOn w:val="CommentText"/>
    <w:next w:val="CommentText"/>
    <w:link w:val="CommentSubjectChar"/>
    <w:rsid w:val="005A009F"/>
    <w:rPr>
      <w:b/>
      <w:bCs/>
    </w:rPr>
  </w:style>
  <w:style w:type="character" w:customStyle="1" w:styleId="CommentSubjectChar">
    <w:name w:val="Comment Subject Char"/>
    <w:link w:val="CommentSubject"/>
    <w:rsid w:val="005A009F"/>
    <w:rPr>
      <w:b/>
      <w:bCs/>
      <w:lang w:eastAsia="en-US"/>
    </w:rPr>
  </w:style>
  <w:style w:type="character" w:customStyle="1" w:styleId="HeaderChar">
    <w:name w:val="Header Char"/>
    <w:link w:val="Header"/>
    <w:rsid w:val="003B13EE"/>
    <w:rPr>
      <w:sz w:val="24"/>
      <w:szCs w:val="24"/>
      <w:lang w:eastAsia="en-US"/>
    </w:rPr>
  </w:style>
  <w:style w:type="character" w:customStyle="1" w:styleId="BodyTextIndentChar">
    <w:name w:val="Body Text Indent Char"/>
    <w:basedOn w:val="DefaultParagraphFont"/>
    <w:link w:val="BodyTextIndent"/>
    <w:rsid w:val="00BA5F9F"/>
    <w:rPr>
      <w:sz w:val="24"/>
      <w:szCs w:val="24"/>
      <w:lang w:eastAsia="en-US"/>
    </w:rPr>
  </w:style>
  <w:style w:type="character" w:customStyle="1" w:styleId="Heading2Char">
    <w:name w:val="Heading 2 Char"/>
    <w:basedOn w:val="DefaultParagraphFont"/>
    <w:link w:val="Heading2"/>
    <w:semiHidden/>
    <w:rsid w:val="004054A1"/>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4054A1"/>
    <w:rPr>
      <w:rFonts w:asciiTheme="majorHAnsi" w:eastAsiaTheme="majorEastAsia" w:hAnsiTheme="majorHAnsi" w:cstheme="majorBidi"/>
      <w:color w:val="243F60" w:themeColor="accent1" w:themeShade="7F"/>
      <w:sz w:val="24"/>
      <w:szCs w:val="24"/>
      <w:lang w:eastAsia="en-US"/>
    </w:rPr>
  </w:style>
  <w:style w:type="character" w:styleId="Hyperlink">
    <w:name w:val="Hyperlink"/>
    <w:basedOn w:val="DefaultParagraphFont"/>
    <w:uiPriority w:val="99"/>
    <w:unhideWhenUsed/>
    <w:rsid w:val="00F8321F"/>
    <w:rPr>
      <w:color w:val="0000FF" w:themeColor="hyperlink"/>
      <w:u w:val="single"/>
    </w:rPr>
  </w:style>
  <w:style w:type="character" w:styleId="PageNumber">
    <w:name w:val="page number"/>
    <w:basedOn w:val="DefaultParagraphFont"/>
    <w:rsid w:val="00F8321F"/>
  </w:style>
  <w:style w:type="paragraph" w:styleId="NormalWeb">
    <w:name w:val="Normal (Web)"/>
    <w:basedOn w:val="Normal"/>
    <w:uiPriority w:val="99"/>
    <w:unhideWhenUsed/>
    <w:rsid w:val="00F8321F"/>
    <w:pPr>
      <w:spacing w:before="100" w:beforeAutospacing="1" w:after="100" w:afterAutospacing="1"/>
    </w:pPr>
    <w:rPr>
      <w:lang w:eastAsia="lt-LT"/>
    </w:rPr>
  </w:style>
  <w:style w:type="character" w:customStyle="1" w:styleId="ListParagraphChar">
    <w:name w:val="List Paragraph Char"/>
    <w:basedOn w:val="DefaultParagraphFont"/>
    <w:link w:val="ListParagraph"/>
    <w:uiPriority w:val="34"/>
    <w:locked/>
    <w:rsid w:val="00F8321F"/>
    <w:rPr>
      <w:sz w:val="24"/>
      <w:szCs w:val="24"/>
      <w:lang w:eastAsia="en-US"/>
    </w:rPr>
  </w:style>
  <w:style w:type="paragraph" w:customStyle="1" w:styleId="Default">
    <w:name w:val="Default"/>
    <w:rsid w:val="001A2779"/>
    <w:pPr>
      <w:suppressAutoHyphens/>
      <w:autoSpaceDE w:val="0"/>
      <w:autoSpaceDN w:val="0"/>
      <w:textAlignment w:val="baseline"/>
    </w:pPr>
    <w:rPr>
      <w:color w:val="000000"/>
      <w:kern w:val="3"/>
      <w:sz w:val="24"/>
      <w:szCs w:val="24"/>
      <w:lang w:eastAsia="zh-CN"/>
    </w:rPr>
  </w:style>
  <w:style w:type="paragraph" w:styleId="Revision">
    <w:name w:val="Revision"/>
    <w:hidden/>
    <w:uiPriority w:val="99"/>
    <w:semiHidden/>
    <w:rsid w:val="00672ED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388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tginfra.lt/documents/12778/11491969/Kaupiamieji_kelynai_traukiniu_formavimo_manevravimo_irenginiai_GPI_aprasas_2021_11_23.pdf/eeb21c9b-77f5-4d7a-babf-4cdfaffefda5" TargetMode="External"/></Relationships>
</file>

<file path=word/_rels/header3.xml.rels><?xml version="1.0" encoding="UTF-8" standalone="yes"?>
<Relationships xmlns="http://schemas.openxmlformats.org/package/2006/relationships"><Relationship Id="rId2" Type="http://schemas.openxmlformats.org/officeDocument/2006/relationships/image" Target="cid:image001.png@01D82EF3.8B143E80" TargetMode="External"/><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naviciene\Desktop\Isakymai%20del%20dazniu%20skyrimo\Raimundo%20Jarmalio%20isakymai\121121_isakymasXXXdel%20salygu_Dekbera%20Kazlu%20Ru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DDA16338EDA344CADC208C5792B083E" ma:contentTypeVersion="14" ma:contentTypeDescription="Kurkite naują dokumentą." ma:contentTypeScope="" ma:versionID="e7c52fedf7275216eb49f1e9e248c8d7">
  <xsd:schema xmlns:xsd="http://www.w3.org/2001/XMLSchema" xmlns:xs="http://www.w3.org/2001/XMLSchema" xmlns:p="http://schemas.microsoft.com/office/2006/metadata/properties" xmlns:ns3="224b5272-3e36-4358-be95-e3069c095bb8" xmlns:ns4="50c7855a-86c4-4a58-b704-623e5695f30c" targetNamespace="http://schemas.microsoft.com/office/2006/metadata/properties" ma:root="true" ma:fieldsID="1ffa605e2f290337196971e715007cc3" ns3:_="" ns4:_="">
    <xsd:import namespace="224b5272-3e36-4358-be95-e3069c095bb8"/>
    <xsd:import namespace="50c7855a-86c4-4a58-b704-623e5695f30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b5272-3e36-4358-be95-e3069c09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c7855a-86c4-4a58-b704-623e5695f30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567388-C5C6-4674-B09A-5E7890C3F287}">
  <ds:schemaRefs>
    <ds:schemaRef ds:uri="http://schemas.microsoft.com/sharepoint/v3/contenttype/forms"/>
  </ds:schemaRefs>
</ds:datastoreItem>
</file>

<file path=customXml/itemProps2.xml><?xml version="1.0" encoding="utf-8"?>
<ds:datastoreItem xmlns:ds="http://schemas.openxmlformats.org/officeDocument/2006/customXml" ds:itemID="{980F804E-36A2-4BDB-9849-06284FFB42B1}">
  <ds:schemaRefs>
    <ds:schemaRef ds:uri="http://schemas.openxmlformats.org/officeDocument/2006/bibliography"/>
  </ds:schemaRefs>
</ds:datastoreItem>
</file>

<file path=customXml/itemProps3.xml><?xml version="1.0" encoding="utf-8"?>
<ds:datastoreItem xmlns:ds="http://schemas.openxmlformats.org/officeDocument/2006/customXml" ds:itemID="{F1AE5318-E887-47A6-9F27-9246225335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69D63E-BE5D-4B8E-BA62-8444D1E33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b5272-3e36-4358-be95-e3069c095bb8"/>
    <ds:schemaRef ds:uri="50c7855a-86c4-4a58-b704-623e5695f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121121_isakymasXXXdel salygu_Dekbera Kazlu Ruda</Template>
  <TotalTime>5</TotalTime>
  <Pages>12</Pages>
  <Words>32808</Words>
  <Characters>18701</Characters>
  <Application>Microsoft Office Word</Application>
  <DocSecurity>8</DocSecurity>
  <Lines>155</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ĮSAKYMAS</vt:lpstr>
      <vt:lpstr>ĮSAKYMAS</vt:lpstr>
    </vt:vector>
  </TitlesOfParts>
  <Company>Ryšių reguliavimo tarnyba prie LRV</Company>
  <LinksUpToDate>false</LinksUpToDate>
  <CharactersWithSpaces>51407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rjarmalis</dc:creator>
  <cp:lastModifiedBy>Danielė Kazilionytė</cp:lastModifiedBy>
  <cp:revision>6</cp:revision>
  <cp:lastPrinted>2019-11-29T10:43:00Z</cp:lastPrinted>
  <dcterms:created xsi:type="dcterms:W3CDTF">2022-04-13T10:10:00Z</dcterms:created>
  <dcterms:modified xsi:type="dcterms:W3CDTF">2022-04-13T10:22:00Z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0x0101008DDA16338EDA344CADC208C5792B083E</vt:lpwstr>
  </property>
</Properties>
</file>